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B73" w:rsidRDefault="0006093A" w:rsidP="009648BF">
      <w:pPr>
        <w:jc w:val="center"/>
        <w:rPr>
          <w:b/>
          <w:i/>
          <w:sz w:val="28"/>
          <w:szCs w:val="28"/>
        </w:rPr>
      </w:pPr>
      <w:bookmarkStart w:id="0" w:name="_GoBack"/>
      <w:bookmarkEnd w:id="0"/>
      <w:r>
        <w:rPr>
          <w:b/>
          <w:i/>
          <w:sz w:val="28"/>
          <w:szCs w:val="28"/>
        </w:rPr>
        <w:t xml:space="preserve">Academic </w:t>
      </w:r>
      <w:r w:rsidR="00AC0B73" w:rsidRPr="0006093A">
        <w:rPr>
          <w:b/>
          <w:i/>
          <w:sz w:val="28"/>
          <w:szCs w:val="28"/>
        </w:rPr>
        <w:t xml:space="preserve">Program </w:t>
      </w:r>
      <w:r w:rsidR="00DA4222">
        <w:rPr>
          <w:b/>
          <w:i/>
          <w:sz w:val="28"/>
          <w:szCs w:val="28"/>
        </w:rPr>
        <w:t xml:space="preserve">Review </w:t>
      </w:r>
      <w:r>
        <w:rPr>
          <w:b/>
          <w:i/>
          <w:sz w:val="28"/>
          <w:szCs w:val="28"/>
        </w:rPr>
        <w:t>Self Study</w:t>
      </w:r>
      <w:r w:rsidR="00D427DF">
        <w:rPr>
          <w:b/>
          <w:i/>
          <w:sz w:val="28"/>
          <w:szCs w:val="28"/>
        </w:rPr>
        <w:t>: Associate Programs</w:t>
      </w:r>
    </w:p>
    <w:p w:rsidR="00FC58C1" w:rsidRDefault="00FC58C1" w:rsidP="009648BF">
      <w:pPr>
        <w:jc w:val="center"/>
      </w:pPr>
    </w:p>
    <w:p w:rsidR="00AC0B73" w:rsidRDefault="00AC0B73" w:rsidP="006D5FF0">
      <w:pPr>
        <w:spacing w:after="120"/>
        <w:rPr>
          <w:b/>
          <w:sz w:val="28"/>
          <w:szCs w:val="28"/>
        </w:rPr>
      </w:pPr>
      <w:r w:rsidRPr="006D5FF0">
        <w:rPr>
          <w:b/>
          <w:sz w:val="28"/>
          <w:szCs w:val="28"/>
        </w:rPr>
        <w:t>I. Introduction</w:t>
      </w:r>
    </w:p>
    <w:p w:rsidR="006D5FF0" w:rsidRDefault="000D4B3A" w:rsidP="006D5FF0">
      <w:pPr>
        <w:spacing w:after="120"/>
        <w:ind w:left="576" w:hanging="288"/>
        <w:rPr>
          <w:b/>
          <w:i/>
        </w:rPr>
      </w:pPr>
      <w:r w:rsidRPr="002439AB">
        <w:rPr>
          <w:b/>
          <w:i/>
          <w:sz w:val="28"/>
          <w:szCs w:val="28"/>
        </w:rPr>
        <w:t xml:space="preserve">A. The </w:t>
      </w:r>
      <w:r w:rsidR="00A27020" w:rsidRPr="002439AB">
        <w:rPr>
          <w:b/>
          <w:i/>
          <w:sz w:val="28"/>
          <w:szCs w:val="28"/>
        </w:rPr>
        <w:t>C</w:t>
      </w:r>
      <w:r w:rsidRPr="002439AB">
        <w:rPr>
          <w:b/>
          <w:i/>
          <w:sz w:val="28"/>
          <w:szCs w:val="28"/>
        </w:rPr>
        <w:t>ollege</w:t>
      </w:r>
      <w:r w:rsidR="00B41826" w:rsidRPr="002439AB">
        <w:rPr>
          <w:b/>
          <w:i/>
          <w:sz w:val="28"/>
          <w:szCs w:val="28"/>
        </w:rPr>
        <w:t xml:space="preserve"> </w:t>
      </w:r>
    </w:p>
    <w:p w:rsidR="00872F78" w:rsidRDefault="002439AB" w:rsidP="002439AB">
      <w:pPr>
        <w:ind w:left="288"/>
      </w:pPr>
      <w:r w:rsidRPr="002439AB">
        <w:t>The SUNY Cobleskill College of Agriculture and Technology is a comprehensive college offering certificates, associate and baccalaureate degrees.  Of the 1,</w:t>
      </w:r>
      <w:r w:rsidR="001C36B1">
        <w:t>8</w:t>
      </w:r>
      <w:r w:rsidR="00F33837">
        <w:t>24</w:t>
      </w:r>
      <w:r w:rsidRPr="002439AB">
        <w:t xml:space="preserve"> students, approximately </w:t>
      </w:r>
      <w:r w:rsidR="00F33837">
        <w:t>19</w:t>
      </w:r>
      <w:r w:rsidRPr="002439AB">
        <w:t>% are enrolled in associate programs (A.A., A.S., A.A.S, and A.O.S.) and 7</w:t>
      </w:r>
      <w:r w:rsidR="00F33837">
        <w:t>8</w:t>
      </w:r>
      <w:r w:rsidRPr="002439AB">
        <w:t>% are enrolled in baccalaureate programs (B.B.A., B.S., and B.Tech.).  The distribution of student by degree and number of degrees and faculty are summarized in Table 1.</w:t>
      </w:r>
    </w:p>
    <w:p w:rsidR="00845CA4" w:rsidRDefault="00845CA4" w:rsidP="000D4B3A">
      <w:pPr>
        <w:ind w:left="576" w:hanging="288"/>
      </w:pPr>
    </w:p>
    <w:p w:rsidR="00AE6C2F" w:rsidRPr="00E2099E" w:rsidRDefault="00AE6C2F" w:rsidP="00AE6C2F">
      <w:pPr>
        <w:jc w:val="center"/>
        <w:rPr>
          <w:b/>
          <w:i/>
        </w:rPr>
      </w:pPr>
      <w:r w:rsidRPr="005729DE">
        <w:t>Table 1.  Distribution</w:t>
      </w:r>
      <w:r>
        <w:t xml:space="preserve"> of Students and Faculty by School</w:t>
      </w:r>
      <w:r w:rsidR="00E8750D">
        <w:rPr>
          <w:vertAlign w:val="superscript"/>
        </w:rPr>
        <w:t>1</w:t>
      </w:r>
      <w:r>
        <w:t>.</w:t>
      </w:r>
      <w:r w:rsidR="00E2099E">
        <w:t xml:space="preserve">  </w:t>
      </w:r>
      <w:r w:rsidR="00E2099E" w:rsidRPr="00FC67ED">
        <w:rPr>
          <w:b/>
          <w:i/>
        </w:rPr>
        <w:t>[IR updates data yearly]</w:t>
      </w:r>
    </w:p>
    <w:p w:rsidR="00AE6C2F" w:rsidRDefault="00AE6C2F" w:rsidP="00AE6C2F"/>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1680"/>
      </w:tblGrid>
      <w:tr w:rsidR="002439AB" w:rsidTr="00957231">
        <w:tc>
          <w:tcPr>
            <w:tcW w:w="4080" w:type="dxa"/>
            <w:tcBorders>
              <w:top w:val="nil"/>
              <w:left w:val="nil"/>
            </w:tcBorders>
          </w:tcPr>
          <w:p w:rsidR="002439AB" w:rsidRDefault="002439AB" w:rsidP="009C526F">
            <w:r w:rsidRPr="005729DE">
              <w:t xml:space="preserve">Fall </w:t>
            </w:r>
            <w:r w:rsidR="00EE01BB">
              <w:t>2025</w:t>
            </w:r>
          </w:p>
        </w:tc>
        <w:tc>
          <w:tcPr>
            <w:tcW w:w="1680" w:type="dxa"/>
            <w:vAlign w:val="center"/>
          </w:tcPr>
          <w:p w:rsidR="002439AB" w:rsidRDefault="002439AB" w:rsidP="00957231">
            <w:pPr>
              <w:jc w:val="center"/>
            </w:pPr>
            <w:r>
              <w:t>SUNY Cobleskill</w:t>
            </w:r>
          </w:p>
        </w:tc>
      </w:tr>
      <w:tr w:rsidR="002439AB" w:rsidTr="00957231">
        <w:tc>
          <w:tcPr>
            <w:tcW w:w="4080" w:type="dxa"/>
          </w:tcPr>
          <w:p w:rsidR="002439AB" w:rsidRDefault="002439AB" w:rsidP="000D4B3A">
            <w:r>
              <w:t>Number of full-time faculty</w:t>
            </w:r>
          </w:p>
        </w:tc>
        <w:tc>
          <w:tcPr>
            <w:tcW w:w="1680" w:type="dxa"/>
          </w:tcPr>
          <w:p w:rsidR="002439AB" w:rsidRDefault="001C36B1" w:rsidP="00957231">
            <w:pPr>
              <w:jc w:val="center"/>
            </w:pPr>
            <w:r>
              <w:t>9</w:t>
            </w:r>
            <w:r w:rsidR="00F33837">
              <w:t>2</w:t>
            </w:r>
          </w:p>
        </w:tc>
      </w:tr>
      <w:tr w:rsidR="002439AB" w:rsidTr="00957231">
        <w:tc>
          <w:tcPr>
            <w:tcW w:w="4080" w:type="dxa"/>
          </w:tcPr>
          <w:p w:rsidR="002439AB" w:rsidRDefault="002439AB" w:rsidP="000D4B3A">
            <w:r>
              <w:t>Number of part-time faculty</w:t>
            </w:r>
          </w:p>
        </w:tc>
        <w:tc>
          <w:tcPr>
            <w:tcW w:w="1680" w:type="dxa"/>
          </w:tcPr>
          <w:p w:rsidR="002439AB" w:rsidRDefault="001C36B1" w:rsidP="00957231">
            <w:pPr>
              <w:jc w:val="center"/>
            </w:pPr>
            <w:r>
              <w:t>5</w:t>
            </w:r>
            <w:r w:rsidR="00F33837">
              <w:t>2</w:t>
            </w:r>
          </w:p>
        </w:tc>
      </w:tr>
      <w:tr w:rsidR="002439AB" w:rsidTr="00957231">
        <w:tc>
          <w:tcPr>
            <w:tcW w:w="4080" w:type="dxa"/>
          </w:tcPr>
          <w:p w:rsidR="002439AB" w:rsidRDefault="002439AB" w:rsidP="000D4B3A">
            <w:r>
              <w:t>Number of associate programs</w:t>
            </w:r>
          </w:p>
        </w:tc>
        <w:tc>
          <w:tcPr>
            <w:tcW w:w="1680" w:type="dxa"/>
          </w:tcPr>
          <w:p w:rsidR="002439AB" w:rsidRDefault="002439AB" w:rsidP="00957231">
            <w:pPr>
              <w:jc w:val="center"/>
            </w:pPr>
            <w:r>
              <w:t>24</w:t>
            </w:r>
          </w:p>
        </w:tc>
      </w:tr>
      <w:tr w:rsidR="002439AB" w:rsidTr="00957231">
        <w:tc>
          <w:tcPr>
            <w:tcW w:w="4080" w:type="dxa"/>
          </w:tcPr>
          <w:p w:rsidR="002439AB" w:rsidRDefault="002439AB" w:rsidP="000D4B3A">
            <w:r>
              <w:t>Number of baccalaureate programs</w:t>
            </w:r>
          </w:p>
        </w:tc>
        <w:tc>
          <w:tcPr>
            <w:tcW w:w="1680" w:type="dxa"/>
          </w:tcPr>
          <w:p w:rsidR="002439AB" w:rsidRDefault="001C36B1" w:rsidP="00957231">
            <w:pPr>
              <w:jc w:val="center"/>
            </w:pPr>
            <w:r>
              <w:t>24</w:t>
            </w:r>
          </w:p>
        </w:tc>
      </w:tr>
      <w:tr w:rsidR="002439AB" w:rsidTr="00957231">
        <w:tc>
          <w:tcPr>
            <w:tcW w:w="4080" w:type="dxa"/>
          </w:tcPr>
          <w:p w:rsidR="002439AB" w:rsidRDefault="002439AB" w:rsidP="000D4B3A">
            <w:r>
              <w:t># Students in associate programs</w:t>
            </w:r>
          </w:p>
        </w:tc>
        <w:tc>
          <w:tcPr>
            <w:tcW w:w="1680" w:type="dxa"/>
          </w:tcPr>
          <w:p w:rsidR="002439AB" w:rsidRDefault="001C36B1" w:rsidP="00957231">
            <w:pPr>
              <w:jc w:val="center"/>
            </w:pPr>
            <w:r>
              <w:t>3</w:t>
            </w:r>
            <w:r w:rsidR="00F33837">
              <w:t>55</w:t>
            </w:r>
          </w:p>
        </w:tc>
      </w:tr>
      <w:tr w:rsidR="002439AB" w:rsidTr="00957231">
        <w:tc>
          <w:tcPr>
            <w:tcW w:w="4080" w:type="dxa"/>
          </w:tcPr>
          <w:p w:rsidR="002439AB" w:rsidRDefault="002439AB" w:rsidP="000D4B3A">
            <w:r>
              <w:t># Students in baccalaureate programs</w:t>
            </w:r>
          </w:p>
        </w:tc>
        <w:tc>
          <w:tcPr>
            <w:tcW w:w="1680" w:type="dxa"/>
          </w:tcPr>
          <w:p w:rsidR="002439AB" w:rsidRDefault="002439AB" w:rsidP="00957231">
            <w:pPr>
              <w:jc w:val="center"/>
            </w:pPr>
            <w:r>
              <w:t>1,</w:t>
            </w:r>
            <w:r w:rsidR="001C36B1">
              <w:t>4</w:t>
            </w:r>
            <w:r w:rsidR="00F33837">
              <w:t>18</w:t>
            </w:r>
          </w:p>
        </w:tc>
      </w:tr>
    </w:tbl>
    <w:p w:rsidR="00AE6C2F" w:rsidRDefault="00296CA3" w:rsidP="0009195E">
      <w:pPr>
        <w:ind w:left="864"/>
        <w:rPr>
          <w:sz w:val="20"/>
          <w:szCs w:val="20"/>
        </w:rPr>
      </w:pPr>
      <w:r w:rsidRPr="00296CA3">
        <w:rPr>
          <w:sz w:val="20"/>
          <w:szCs w:val="20"/>
          <w:vertAlign w:val="superscript"/>
        </w:rPr>
        <w:t xml:space="preserve">1 </w:t>
      </w:r>
      <w:r w:rsidR="00E8750D" w:rsidRPr="00E8750D">
        <w:rPr>
          <w:sz w:val="20"/>
          <w:szCs w:val="20"/>
        </w:rPr>
        <w:t>Data is from third week enrollment for most recent fall semester.</w:t>
      </w:r>
      <w:r w:rsidR="00062CDE">
        <w:rPr>
          <w:sz w:val="20"/>
          <w:szCs w:val="20"/>
        </w:rPr>
        <w:t xml:space="preserve"> </w:t>
      </w:r>
      <w:r w:rsidR="002D6DDF">
        <w:rPr>
          <w:sz w:val="20"/>
          <w:szCs w:val="20"/>
        </w:rPr>
        <w:t>Totals do not include certificate program students or part-time student</w:t>
      </w:r>
      <w:r w:rsidR="0009195E">
        <w:rPr>
          <w:sz w:val="20"/>
          <w:szCs w:val="20"/>
        </w:rPr>
        <w:t>s.</w:t>
      </w:r>
      <w:r w:rsidR="00062CDE">
        <w:rPr>
          <w:sz w:val="20"/>
          <w:szCs w:val="20"/>
        </w:rPr>
        <w:t xml:space="preserve"> </w:t>
      </w:r>
    </w:p>
    <w:p w:rsidR="0009195E" w:rsidRPr="0009195E" w:rsidRDefault="0009195E" w:rsidP="0009195E">
      <w:pPr>
        <w:ind w:left="864"/>
        <w:rPr>
          <w:sz w:val="20"/>
          <w:szCs w:val="20"/>
        </w:rPr>
      </w:pPr>
    </w:p>
    <w:p w:rsidR="006D5FF0" w:rsidRDefault="000D4B3A" w:rsidP="006D5FF0">
      <w:pPr>
        <w:spacing w:after="120"/>
        <w:ind w:left="576" w:hanging="288"/>
      </w:pPr>
      <w:r w:rsidRPr="006D5FF0">
        <w:rPr>
          <w:b/>
          <w:i/>
          <w:sz w:val="28"/>
          <w:szCs w:val="28"/>
        </w:rPr>
        <w:t xml:space="preserve">B. The </w:t>
      </w:r>
      <w:r w:rsidR="00A27020" w:rsidRPr="006D5FF0">
        <w:rPr>
          <w:b/>
          <w:i/>
          <w:sz w:val="28"/>
          <w:szCs w:val="28"/>
        </w:rPr>
        <w:t>D</w:t>
      </w:r>
      <w:r w:rsidRPr="006D5FF0">
        <w:rPr>
          <w:b/>
          <w:i/>
          <w:sz w:val="28"/>
          <w:szCs w:val="28"/>
        </w:rPr>
        <w:t>epartment</w:t>
      </w:r>
      <w:r>
        <w:t xml:space="preserve"> </w:t>
      </w:r>
    </w:p>
    <w:p w:rsidR="000D4B3A" w:rsidRDefault="006D5FF0" w:rsidP="00EE6367">
      <w:pPr>
        <w:ind w:left="576"/>
        <w:rPr>
          <w:b/>
          <w:i/>
        </w:rPr>
      </w:pPr>
      <w:r w:rsidRPr="00872F78">
        <w:rPr>
          <w:i/>
          <w:highlight w:val="yellow"/>
        </w:rPr>
        <w:t>A</w:t>
      </w:r>
      <w:r w:rsidR="000D4B3A" w:rsidRPr="00872F78">
        <w:rPr>
          <w:i/>
          <w:highlight w:val="yellow"/>
        </w:rPr>
        <w:t xml:space="preserve"> </w:t>
      </w:r>
      <w:r w:rsidR="00DF7273" w:rsidRPr="00872F78">
        <w:rPr>
          <w:i/>
          <w:highlight w:val="yellow"/>
        </w:rPr>
        <w:t xml:space="preserve">brief, </w:t>
      </w:r>
      <w:r w:rsidR="000D4B3A" w:rsidRPr="00872F78">
        <w:rPr>
          <w:i/>
          <w:highlight w:val="yellow"/>
        </w:rPr>
        <w:t xml:space="preserve">standard statement about the department including </w:t>
      </w:r>
      <w:r w:rsidR="00DF7273" w:rsidRPr="00872F78">
        <w:rPr>
          <w:i/>
          <w:highlight w:val="yellow"/>
        </w:rPr>
        <w:t>a department mission statement</w:t>
      </w:r>
      <w:r w:rsidR="00E2099E" w:rsidRPr="00872F78">
        <w:rPr>
          <w:i/>
          <w:highlight w:val="yellow"/>
        </w:rPr>
        <w:t xml:space="preserve"> and</w:t>
      </w:r>
      <w:r w:rsidR="00DF7273" w:rsidRPr="00872F78">
        <w:rPr>
          <w:i/>
          <w:highlight w:val="yellow"/>
        </w:rPr>
        <w:t xml:space="preserve"> a list of the </w:t>
      </w:r>
      <w:r w:rsidR="000D4B3A" w:rsidRPr="00872F78">
        <w:rPr>
          <w:i/>
          <w:highlight w:val="yellow"/>
        </w:rPr>
        <w:t>programs offered</w:t>
      </w:r>
      <w:r w:rsidR="00EE78C1" w:rsidRPr="00872F78">
        <w:rPr>
          <w:i/>
          <w:highlight w:val="yellow"/>
        </w:rPr>
        <w:t xml:space="preserve"> - </w:t>
      </w:r>
      <w:r w:rsidR="00EE78C1" w:rsidRPr="00872F78">
        <w:rPr>
          <w:b/>
          <w:i/>
          <w:highlight w:val="yellow"/>
        </w:rPr>
        <w:t>t</w:t>
      </w:r>
      <w:r w:rsidR="000D4B3A" w:rsidRPr="00872F78">
        <w:rPr>
          <w:b/>
          <w:i/>
          <w:highlight w:val="yellow"/>
        </w:rPr>
        <w:t>his should be prepared by the department</w:t>
      </w:r>
    </w:p>
    <w:p w:rsidR="008E6F26" w:rsidRPr="00EE78C1" w:rsidRDefault="008E6F26" w:rsidP="00EE6367">
      <w:pPr>
        <w:ind w:left="576"/>
      </w:pPr>
    </w:p>
    <w:p w:rsidR="00845CA4" w:rsidRPr="00872F78" w:rsidRDefault="00845CA4" w:rsidP="00CA03E7">
      <w:pPr>
        <w:ind w:left="576"/>
      </w:pPr>
    </w:p>
    <w:p w:rsidR="00AC0B73" w:rsidRPr="006D5FF0" w:rsidRDefault="00AC0B73" w:rsidP="006D5FF0">
      <w:pPr>
        <w:spacing w:after="120"/>
        <w:rPr>
          <w:b/>
          <w:sz w:val="28"/>
          <w:szCs w:val="28"/>
        </w:rPr>
      </w:pPr>
      <w:r w:rsidRPr="006D5FF0">
        <w:rPr>
          <w:b/>
          <w:sz w:val="28"/>
          <w:szCs w:val="28"/>
        </w:rPr>
        <w:t>II. The Curriculum</w:t>
      </w:r>
    </w:p>
    <w:p w:rsidR="00AC0B73" w:rsidRPr="006D5FF0" w:rsidRDefault="00AC0B73" w:rsidP="006D5FF0">
      <w:pPr>
        <w:spacing w:after="120"/>
        <w:ind w:left="288"/>
        <w:rPr>
          <w:b/>
          <w:i/>
          <w:sz w:val="28"/>
          <w:szCs w:val="28"/>
        </w:rPr>
      </w:pPr>
      <w:r w:rsidRPr="006D5FF0">
        <w:rPr>
          <w:b/>
          <w:i/>
          <w:sz w:val="28"/>
          <w:szCs w:val="28"/>
        </w:rPr>
        <w:t xml:space="preserve">A. Program </w:t>
      </w:r>
      <w:smartTag w:uri="urn:schemas-microsoft-com:office:smarttags" w:element="place">
        <w:smartTag w:uri="urn:schemas-microsoft-com:office:smarttags" w:element="City">
          <w:r w:rsidRPr="006D5FF0">
            <w:rPr>
              <w:b/>
              <w:i/>
              <w:sz w:val="28"/>
              <w:szCs w:val="28"/>
            </w:rPr>
            <w:t>Mission</w:t>
          </w:r>
        </w:smartTag>
      </w:smartTag>
      <w:r w:rsidRPr="006D5FF0">
        <w:rPr>
          <w:b/>
          <w:i/>
          <w:sz w:val="28"/>
          <w:szCs w:val="28"/>
        </w:rPr>
        <w:t xml:space="preserve">, Goals, and Learning Outcomes </w:t>
      </w:r>
    </w:p>
    <w:p w:rsidR="00845CA4" w:rsidRDefault="00B72E65" w:rsidP="00CA03E7">
      <w:pPr>
        <w:ind w:left="576"/>
        <w:rPr>
          <w:i/>
        </w:rPr>
      </w:pPr>
      <w:r w:rsidRPr="00B72E65">
        <w:rPr>
          <w:i/>
          <w:highlight w:val="yellow"/>
        </w:rPr>
        <w:t xml:space="preserve">This section should include: a program mission statement (defines the purpose), a list of program goals (what you want students to </w:t>
      </w:r>
      <w:r w:rsidRPr="00B72E65">
        <w:rPr>
          <w:i/>
          <w:highlight w:val="yellow"/>
          <w:u w:val="single"/>
        </w:rPr>
        <w:t>be</w:t>
      </w:r>
      <w:r w:rsidRPr="00B72E65">
        <w:rPr>
          <w:i/>
          <w:highlight w:val="yellow"/>
        </w:rPr>
        <w:t xml:space="preserve"> or </w:t>
      </w:r>
      <w:r w:rsidRPr="00B72E65">
        <w:rPr>
          <w:i/>
          <w:highlight w:val="yellow"/>
          <w:u w:val="single"/>
        </w:rPr>
        <w:t>have</w:t>
      </w:r>
      <w:r w:rsidRPr="00B72E65">
        <w:rPr>
          <w:i/>
          <w:highlight w:val="yellow"/>
        </w:rPr>
        <w:t xml:space="preserve">), and a list of learning outcomes (what you want students to be able to </w:t>
      </w:r>
      <w:r w:rsidRPr="00B72E65">
        <w:rPr>
          <w:i/>
          <w:highlight w:val="yellow"/>
          <w:u w:val="single"/>
        </w:rPr>
        <w:t>do</w:t>
      </w:r>
      <w:r w:rsidRPr="00B72E65">
        <w:rPr>
          <w:i/>
          <w:highlight w:val="yellow"/>
        </w:rPr>
        <w:t xml:space="preserve">).  </w:t>
      </w:r>
    </w:p>
    <w:p w:rsidR="008E6F26" w:rsidRPr="00B72E65" w:rsidRDefault="008E6F26" w:rsidP="00CA03E7">
      <w:pPr>
        <w:ind w:left="576"/>
        <w:rPr>
          <w:i/>
        </w:rPr>
      </w:pPr>
    </w:p>
    <w:p w:rsidR="00845CA4" w:rsidRDefault="00845CA4" w:rsidP="00CA03E7">
      <w:pPr>
        <w:ind w:left="576"/>
      </w:pPr>
    </w:p>
    <w:p w:rsidR="00CA03E7" w:rsidRPr="00CA03E7" w:rsidRDefault="000D4B3A" w:rsidP="00CA03E7">
      <w:pPr>
        <w:spacing w:after="120"/>
        <w:ind w:left="288"/>
        <w:rPr>
          <w:b/>
          <w:i/>
          <w:sz w:val="28"/>
          <w:szCs w:val="28"/>
        </w:rPr>
      </w:pPr>
      <w:r w:rsidRPr="00CA03E7">
        <w:rPr>
          <w:b/>
          <w:i/>
          <w:sz w:val="28"/>
          <w:szCs w:val="28"/>
        </w:rPr>
        <w:t>B</w:t>
      </w:r>
      <w:r w:rsidR="00AC0B73" w:rsidRPr="00CA03E7">
        <w:rPr>
          <w:b/>
          <w:i/>
          <w:sz w:val="28"/>
          <w:szCs w:val="28"/>
        </w:rPr>
        <w:t>. Program Design</w:t>
      </w:r>
    </w:p>
    <w:p w:rsidR="00AC0B73" w:rsidRDefault="00CA03E7" w:rsidP="00CA03E7">
      <w:pPr>
        <w:ind w:left="576"/>
      </w:pPr>
      <w:r w:rsidRPr="00872F78">
        <w:rPr>
          <w:i/>
          <w:highlight w:val="yellow"/>
        </w:rPr>
        <w:t>O</w:t>
      </w:r>
      <w:r w:rsidR="000D4B3A" w:rsidRPr="00872F78">
        <w:rPr>
          <w:i/>
          <w:highlight w:val="yellow"/>
        </w:rPr>
        <w:t>verview of program structure and career/transfer opportunities</w:t>
      </w:r>
    </w:p>
    <w:p w:rsidR="00A85522" w:rsidRDefault="00A85522" w:rsidP="000D4B3A">
      <w:pPr>
        <w:ind w:left="864" w:hanging="288"/>
      </w:pPr>
    </w:p>
    <w:p w:rsidR="00CA03E7" w:rsidRDefault="00CA03E7" w:rsidP="000D4B3A">
      <w:pPr>
        <w:ind w:left="864" w:hanging="288"/>
      </w:pPr>
    </w:p>
    <w:p w:rsidR="00991BD2" w:rsidRDefault="00AC0B73" w:rsidP="0088154C">
      <w:pPr>
        <w:ind w:left="576"/>
      </w:pPr>
      <w:r w:rsidRPr="00C021A6">
        <w:rPr>
          <w:b/>
        </w:rPr>
        <w:t>Degree Requirements</w:t>
      </w:r>
      <w:r w:rsidR="00CA03E7">
        <w:rPr>
          <w:b/>
        </w:rPr>
        <w:t>:</w:t>
      </w:r>
      <w:r w:rsidR="000D4B3A">
        <w:t xml:space="preserve"> </w:t>
      </w:r>
      <w:r w:rsidR="006D5FF0">
        <w:t xml:space="preserve"> </w:t>
      </w:r>
      <w:r w:rsidR="006D5FF0" w:rsidRPr="00872F78">
        <w:rPr>
          <w:highlight w:val="yellow"/>
        </w:rPr>
        <w:t xml:space="preserve">- </w:t>
      </w:r>
      <w:r w:rsidR="006D5FF0" w:rsidRPr="00872F78">
        <w:rPr>
          <w:i/>
          <w:highlight w:val="yellow"/>
        </w:rPr>
        <w:t>a</w:t>
      </w:r>
      <w:r w:rsidR="00E2099E" w:rsidRPr="00872F78">
        <w:rPr>
          <w:i/>
          <w:highlight w:val="yellow"/>
        </w:rPr>
        <w:t xml:space="preserve"> statement explaining </w:t>
      </w:r>
      <w:r w:rsidR="00A27020" w:rsidRPr="00872F78">
        <w:rPr>
          <w:i/>
          <w:highlight w:val="yellow"/>
        </w:rPr>
        <w:t>or justifying the degree requiremen</w:t>
      </w:r>
      <w:r w:rsidR="0088154C">
        <w:rPr>
          <w:i/>
          <w:highlight w:val="yellow"/>
        </w:rPr>
        <w:t>ts.  This section should include: Table 2 (</w:t>
      </w:r>
      <w:r w:rsidR="00A27020" w:rsidRPr="00872F78">
        <w:rPr>
          <w:i/>
          <w:highlight w:val="yellow"/>
        </w:rPr>
        <w:t>a</w:t>
      </w:r>
      <w:r w:rsidR="000D4B3A" w:rsidRPr="00872F78">
        <w:rPr>
          <w:i/>
          <w:highlight w:val="yellow"/>
        </w:rPr>
        <w:t xml:space="preserve"> table of degree requirements</w:t>
      </w:r>
      <w:r w:rsidR="0088154C">
        <w:rPr>
          <w:i/>
          <w:highlight w:val="yellow"/>
        </w:rPr>
        <w:t>)</w:t>
      </w:r>
      <w:r w:rsidR="000D4B3A" w:rsidRPr="00872F78">
        <w:rPr>
          <w:i/>
          <w:highlight w:val="yellow"/>
        </w:rPr>
        <w:t>,</w:t>
      </w:r>
      <w:r w:rsidR="00A23F64" w:rsidRPr="00B762A2">
        <w:rPr>
          <w:i/>
          <w:highlight w:val="yellow"/>
        </w:rPr>
        <w:t xml:space="preserve"> </w:t>
      </w:r>
      <w:r w:rsidR="0088154C">
        <w:rPr>
          <w:i/>
          <w:highlight w:val="yellow"/>
        </w:rPr>
        <w:t>Table 2a (a table of advisor tracks, if there are any), Table 3 (</w:t>
      </w:r>
      <w:r w:rsidR="00A23F64" w:rsidRPr="00B762A2">
        <w:rPr>
          <w:i/>
          <w:highlight w:val="yellow"/>
        </w:rPr>
        <w:t>a table of program learning outcomes mapped into program-required courses to show where each learning outcome is mastered</w:t>
      </w:r>
      <w:r w:rsidR="0088154C">
        <w:rPr>
          <w:i/>
          <w:highlight w:val="yellow"/>
        </w:rPr>
        <w:t>)</w:t>
      </w:r>
      <w:r w:rsidR="00A23F64" w:rsidRPr="00A23F64">
        <w:rPr>
          <w:i/>
          <w:highlight w:val="yellow"/>
        </w:rPr>
        <w:t>, and</w:t>
      </w:r>
      <w:r w:rsidR="000D4B3A" w:rsidRPr="00872F78">
        <w:rPr>
          <w:i/>
          <w:highlight w:val="yellow"/>
        </w:rPr>
        <w:t xml:space="preserve"> </w:t>
      </w:r>
      <w:r w:rsidR="0088154C">
        <w:rPr>
          <w:i/>
          <w:highlight w:val="yellow"/>
        </w:rPr>
        <w:lastRenderedPageBreak/>
        <w:t>Table 4 (</w:t>
      </w:r>
      <w:r w:rsidR="00A27020" w:rsidRPr="00872F78">
        <w:rPr>
          <w:i/>
          <w:highlight w:val="yellow"/>
        </w:rPr>
        <w:t xml:space="preserve">a </w:t>
      </w:r>
      <w:r w:rsidR="000D4B3A" w:rsidRPr="00872F78">
        <w:rPr>
          <w:i/>
          <w:highlight w:val="yellow"/>
        </w:rPr>
        <w:t xml:space="preserve">table of </w:t>
      </w:r>
      <w:r w:rsidR="00A27020" w:rsidRPr="00872F78">
        <w:rPr>
          <w:i/>
          <w:highlight w:val="yellow"/>
        </w:rPr>
        <w:t xml:space="preserve">semester by semester </w:t>
      </w:r>
      <w:r w:rsidR="000D4B3A" w:rsidRPr="00872F78">
        <w:rPr>
          <w:i/>
          <w:highlight w:val="yellow"/>
        </w:rPr>
        <w:t>suggested course sequence</w:t>
      </w:r>
      <w:r w:rsidR="0088154C">
        <w:rPr>
          <w:i/>
          <w:highlight w:val="yellow"/>
        </w:rPr>
        <w:t xml:space="preserve"> – if the program has advisor tracks you should have a separate table for each track and they can be labeled 4a, 4b, etc)</w:t>
      </w:r>
      <w:r w:rsidR="0088154C">
        <w:rPr>
          <w:i/>
        </w:rPr>
        <w:t xml:space="preserve">. </w:t>
      </w:r>
    </w:p>
    <w:p w:rsidR="00991BD2" w:rsidRDefault="00991BD2" w:rsidP="000D4B3A">
      <w:pPr>
        <w:ind w:left="864" w:hanging="288"/>
      </w:pPr>
    </w:p>
    <w:p w:rsidR="00A85522" w:rsidRDefault="00A85522" w:rsidP="001561B8">
      <w:pPr>
        <w:ind w:left="864" w:hanging="288"/>
      </w:pPr>
    </w:p>
    <w:p w:rsidR="00AC0B73" w:rsidRDefault="00AC0B73" w:rsidP="008E09FF">
      <w:pPr>
        <w:ind w:left="576"/>
      </w:pPr>
      <w:r w:rsidRPr="00C021A6">
        <w:rPr>
          <w:b/>
        </w:rPr>
        <w:t>Breadth and Depth of program</w:t>
      </w:r>
      <w:r w:rsidR="008E09FF">
        <w:rPr>
          <w:b/>
        </w:rPr>
        <w:t>:</w:t>
      </w:r>
      <w:r w:rsidR="00B72E65">
        <w:rPr>
          <w:b/>
        </w:rPr>
        <w:t xml:space="preserve"> </w:t>
      </w:r>
      <w:r w:rsidR="00FD02BE">
        <w:t xml:space="preserve"> </w:t>
      </w:r>
      <w:r w:rsidR="00991BD2" w:rsidRPr="00B72E65">
        <w:rPr>
          <w:highlight w:val="yellow"/>
        </w:rPr>
        <w:t xml:space="preserve">– </w:t>
      </w:r>
      <w:r w:rsidR="00991BD2" w:rsidRPr="00B72E65">
        <w:rPr>
          <w:i/>
          <w:highlight w:val="yellow"/>
        </w:rPr>
        <w:t>describe the balance between the breadth and depth of knowledge designed into the program</w:t>
      </w:r>
    </w:p>
    <w:p w:rsidR="00A85522" w:rsidRDefault="00A85522" w:rsidP="008E09FF">
      <w:pPr>
        <w:ind w:left="576"/>
      </w:pPr>
    </w:p>
    <w:p w:rsidR="00B762A2" w:rsidRDefault="00B762A2" w:rsidP="008E09FF">
      <w:pPr>
        <w:ind w:left="576"/>
      </w:pPr>
    </w:p>
    <w:p w:rsidR="00AC0B73" w:rsidRDefault="00AC0B73" w:rsidP="008E09FF">
      <w:pPr>
        <w:ind w:left="576"/>
      </w:pPr>
      <w:r w:rsidRPr="00C021A6">
        <w:rPr>
          <w:b/>
        </w:rPr>
        <w:t>Consistency in Multiple Sections of Courses</w:t>
      </w:r>
      <w:r w:rsidR="008E09FF">
        <w:rPr>
          <w:b/>
        </w:rPr>
        <w:t>:</w:t>
      </w:r>
      <w:r w:rsidR="00FD02BE">
        <w:t xml:space="preserve"> </w:t>
      </w:r>
      <w:r w:rsidR="00B72E65">
        <w:t xml:space="preserve"> </w:t>
      </w:r>
      <w:r w:rsidR="00FD02BE" w:rsidRPr="00B72E65">
        <w:rPr>
          <w:highlight w:val="yellow"/>
        </w:rPr>
        <w:t xml:space="preserve">– </w:t>
      </w:r>
      <w:r w:rsidR="00FD02BE" w:rsidRPr="00B72E65">
        <w:rPr>
          <w:i/>
          <w:highlight w:val="yellow"/>
        </w:rPr>
        <w:t>describe how you ensure comparable learning outcomes in multiple sections of courses (including courses taught by adjuncts)</w:t>
      </w:r>
    </w:p>
    <w:p w:rsidR="00A85522" w:rsidRDefault="00A85522" w:rsidP="008E09FF">
      <w:pPr>
        <w:ind w:left="576"/>
      </w:pPr>
    </w:p>
    <w:p w:rsidR="00B762A2" w:rsidRDefault="00B762A2" w:rsidP="008E09FF">
      <w:pPr>
        <w:ind w:left="576"/>
      </w:pPr>
    </w:p>
    <w:p w:rsidR="00AC0B73" w:rsidRDefault="00AC0B73" w:rsidP="008E09FF">
      <w:pPr>
        <w:ind w:left="576"/>
      </w:pPr>
      <w:r w:rsidRPr="00C021A6">
        <w:rPr>
          <w:b/>
        </w:rPr>
        <w:t xml:space="preserve">Course Offerings </w:t>
      </w:r>
      <w:r w:rsidR="001561B8" w:rsidRPr="00C021A6">
        <w:rPr>
          <w:b/>
        </w:rPr>
        <w:t xml:space="preserve">Scheduled to </w:t>
      </w:r>
      <w:r w:rsidRPr="00C021A6">
        <w:rPr>
          <w:b/>
        </w:rPr>
        <w:t>Meet Student Needs</w:t>
      </w:r>
      <w:r w:rsidR="008E09FF">
        <w:rPr>
          <w:b/>
        </w:rPr>
        <w:t>:</w:t>
      </w:r>
      <w:r w:rsidR="00B72E65">
        <w:rPr>
          <w:b/>
        </w:rPr>
        <w:t xml:space="preserve"> </w:t>
      </w:r>
      <w:r w:rsidR="00FD02BE">
        <w:t xml:space="preserve"> – </w:t>
      </w:r>
      <w:r w:rsidR="00FD02BE" w:rsidRPr="00B72E65">
        <w:rPr>
          <w:i/>
          <w:highlight w:val="yellow"/>
        </w:rPr>
        <w:t>describe methods used to ensure that required and elective courses are offered in sufficient numbers and at appropriate times to meet student needs.</w:t>
      </w:r>
    </w:p>
    <w:p w:rsidR="00A85522" w:rsidRDefault="00A85522" w:rsidP="008E09FF">
      <w:pPr>
        <w:ind w:left="576"/>
        <w:rPr>
          <w:b/>
        </w:rPr>
      </w:pPr>
    </w:p>
    <w:p w:rsidR="00B762A2" w:rsidRPr="006D5FF0" w:rsidRDefault="00B762A2" w:rsidP="008E09FF">
      <w:pPr>
        <w:ind w:left="576"/>
        <w:rPr>
          <w:b/>
        </w:rPr>
      </w:pPr>
    </w:p>
    <w:p w:rsidR="001561B8" w:rsidRDefault="001561B8" w:rsidP="008E09FF">
      <w:pPr>
        <w:ind w:left="576"/>
      </w:pPr>
      <w:r w:rsidRPr="006D5FF0">
        <w:rPr>
          <w:b/>
        </w:rPr>
        <w:t>Research Opportunities for Students in Program</w:t>
      </w:r>
      <w:r w:rsidR="008E09FF">
        <w:rPr>
          <w:b/>
        </w:rPr>
        <w:t>:</w:t>
      </w:r>
      <w:r w:rsidR="00FD02BE" w:rsidRPr="006D5FF0">
        <w:rPr>
          <w:b/>
        </w:rPr>
        <w:t xml:space="preserve"> </w:t>
      </w:r>
      <w:r w:rsidR="00B72E65">
        <w:rPr>
          <w:b/>
        </w:rPr>
        <w:t xml:space="preserve"> </w:t>
      </w:r>
      <w:r w:rsidR="00FD02BE" w:rsidRPr="00B72E65">
        <w:rPr>
          <w:i/>
          <w:highlight w:val="yellow"/>
        </w:rPr>
        <w:t>– describe any such opportunities</w:t>
      </w:r>
    </w:p>
    <w:p w:rsidR="00A85522" w:rsidRDefault="00A85522" w:rsidP="008E09FF">
      <w:pPr>
        <w:ind w:left="576"/>
      </w:pPr>
    </w:p>
    <w:p w:rsidR="00B762A2" w:rsidRDefault="00B762A2" w:rsidP="008E09FF">
      <w:pPr>
        <w:ind w:left="576"/>
      </w:pPr>
    </w:p>
    <w:p w:rsidR="00AC0B73" w:rsidRDefault="00AC0B73" w:rsidP="008E09FF">
      <w:pPr>
        <w:ind w:left="576"/>
      </w:pPr>
      <w:r w:rsidRPr="008E09FF">
        <w:rPr>
          <w:b/>
        </w:rPr>
        <w:t>Internship Opportunities</w:t>
      </w:r>
      <w:r w:rsidR="001561B8" w:rsidRPr="008E09FF">
        <w:rPr>
          <w:b/>
        </w:rPr>
        <w:t xml:space="preserve"> for Students in Program</w:t>
      </w:r>
      <w:r w:rsidR="008E09FF">
        <w:rPr>
          <w:b/>
        </w:rPr>
        <w:t>:</w:t>
      </w:r>
      <w:r w:rsidR="008E09FF">
        <w:t xml:space="preserve">  </w:t>
      </w:r>
      <w:r w:rsidR="008E09FF" w:rsidRPr="00B72E65">
        <w:rPr>
          <w:highlight w:val="yellow"/>
        </w:rPr>
        <w:sym w:font="Symbol" w:char="F02D"/>
      </w:r>
      <w:r w:rsidR="001561B8" w:rsidRPr="00B72E65">
        <w:rPr>
          <w:i/>
          <w:highlight w:val="yellow"/>
        </w:rPr>
        <w:t>if appropriate</w:t>
      </w:r>
      <w:r w:rsidR="008E09FF" w:rsidRPr="00B72E65">
        <w:rPr>
          <w:i/>
          <w:highlight w:val="yellow"/>
        </w:rPr>
        <w:t>,</w:t>
      </w:r>
      <w:r w:rsidR="00991BD2" w:rsidRPr="00B72E65">
        <w:rPr>
          <w:i/>
          <w:highlight w:val="yellow"/>
        </w:rPr>
        <w:t xml:space="preserve"> describe any such opportunities</w:t>
      </w:r>
    </w:p>
    <w:p w:rsidR="00A85522" w:rsidRDefault="00A85522" w:rsidP="008E09FF">
      <w:pPr>
        <w:ind w:left="576"/>
      </w:pPr>
    </w:p>
    <w:p w:rsidR="00B762A2" w:rsidRDefault="00B762A2" w:rsidP="008E09FF">
      <w:pPr>
        <w:ind w:left="576"/>
      </w:pPr>
    </w:p>
    <w:p w:rsidR="00AC0B73" w:rsidRDefault="00AC0B73" w:rsidP="008E09FF">
      <w:pPr>
        <w:ind w:left="576"/>
      </w:pPr>
      <w:r w:rsidRPr="00C021A6">
        <w:rPr>
          <w:b/>
        </w:rPr>
        <w:t>Department Procedures for Course Development and Review</w:t>
      </w:r>
      <w:r w:rsidR="008E09FF">
        <w:rPr>
          <w:b/>
        </w:rPr>
        <w:t>:</w:t>
      </w:r>
      <w:r w:rsidR="00FD02BE">
        <w:t xml:space="preserve"> </w:t>
      </w:r>
      <w:r w:rsidR="00B72E65">
        <w:t xml:space="preserve"> </w:t>
      </w:r>
      <w:r w:rsidR="00991BD2" w:rsidRPr="00B72E65">
        <w:rPr>
          <w:highlight w:val="yellow"/>
        </w:rPr>
        <w:t>–</w:t>
      </w:r>
      <w:r w:rsidR="00FD02BE" w:rsidRPr="00B72E65">
        <w:rPr>
          <w:highlight w:val="yellow"/>
        </w:rPr>
        <w:t xml:space="preserve"> </w:t>
      </w:r>
      <w:r w:rsidR="00991BD2" w:rsidRPr="00B72E65">
        <w:rPr>
          <w:i/>
          <w:highlight w:val="yellow"/>
        </w:rPr>
        <w:t>describe policy and practice</w:t>
      </w:r>
    </w:p>
    <w:p w:rsidR="00A85522" w:rsidRDefault="00A85522" w:rsidP="008E09FF">
      <w:pPr>
        <w:ind w:left="576"/>
      </w:pPr>
    </w:p>
    <w:p w:rsidR="00B762A2" w:rsidRDefault="00B762A2" w:rsidP="008E09FF">
      <w:pPr>
        <w:ind w:left="576"/>
      </w:pPr>
    </w:p>
    <w:p w:rsidR="00AC0B73" w:rsidRDefault="00AC0B73" w:rsidP="008E09FF">
      <w:pPr>
        <w:ind w:left="576"/>
      </w:pPr>
      <w:r w:rsidRPr="00C021A6">
        <w:rPr>
          <w:b/>
        </w:rPr>
        <w:t>Student Advisement</w:t>
      </w:r>
      <w:r w:rsidR="008E09FF">
        <w:rPr>
          <w:b/>
        </w:rPr>
        <w:t>:</w:t>
      </w:r>
      <w:r w:rsidR="001561B8">
        <w:t xml:space="preserve"> </w:t>
      </w:r>
      <w:r w:rsidR="00B72E65">
        <w:t xml:space="preserve"> </w:t>
      </w:r>
      <w:r w:rsidR="001561B8" w:rsidRPr="00B72E65">
        <w:rPr>
          <w:highlight w:val="yellow"/>
        </w:rPr>
        <w:t xml:space="preserve">– </w:t>
      </w:r>
      <w:r w:rsidR="00991BD2" w:rsidRPr="00B72E65">
        <w:rPr>
          <w:i/>
          <w:highlight w:val="yellow"/>
        </w:rPr>
        <w:t>describe how program faculty accomplish advisement.  I</w:t>
      </w:r>
      <w:r w:rsidR="001561B8" w:rsidRPr="00B72E65">
        <w:rPr>
          <w:i/>
          <w:highlight w:val="yellow"/>
        </w:rPr>
        <w:t>nclude progress sheet</w:t>
      </w:r>
      <w:r w:rsidR="00991BD2" w:rsidRPr="00B72E65">
        <w:rPr>
          <w:highlight w:val="yellow"/>
        </w:rPr>
        <w:t>.</w:t>
      </w:r>
    </w:p>
    <w:p w:rsidR="00991BD2" w:rsidRDefault="00991BD2" w:rsidP="008E09FF">
      <w:pPr>
        <w:ind w:left="576"/>
      </w:pPr>
    </w:p>
    <w:p w:rsidR="00991BD2" w:rsidRDefault="00991BD2" w:rsidP="008E09FF">
      <w:pPr>
        <w:ind w:left="576"/>
      </w:pPr>
    </w:p>
    <w:p w:rsidR="00AC0B73" w:rsidRDefault="00AC0B73" w:rsidP="008E09FF">
      <w:pPr>
        <w:ind w:left="576"/>
      </w:pPr>
      <w:r w:rsidRPr="00C021A6">
        <w:rPr>
          <w:b/>
        </w:rPr>
        <w:t>The Program Advisory Committee</w:t>
      </w:r>
      <w:r w:rsidR="00991BD2">
        <w:t xml:space="preserve"> </w:t>
      </w:r>
      <w:r w:rsidR="00B72E65">
        <w:t xml:space="preserve"> </w:t>
      </w:r>
      <w:r w:rsidR="00991BD2" w:rsidRPr="00B72E65">
        <w:rPr>
          <w:highlight w:val="yellow"/>
        </w:rPr>
        <w:t xml:space="preserve">– </w:t>
      </w:r>
      <w:r w:rsidR="00991BD2" w:rsidRPr="00B72E65">
        <w:rPr>
          <w:i/>
          <w:highlight w:val="yellow"/>
        </w:rPr>
        <w:t>describe the composition and role of the program advis</w:t>
      </w:r>
      <w:r w:rsidR="008E09FF" w:rsidRPr="00B72E65">
        <w:rPr>
          <w:i/>
          <w:highlight w:val="yellow"/>
        </w:rPr>
        <w:t>ory</w:t>
      </w:r>
      <w:r w:rsidR="00991BD2" w:rsidRPr="00B72E65">
        <w:rPr>
          <w:i/>
          <w:highlight w:val="yellow"/>
        </w:rPr>
        <w:t xml:space="preserve"> committee</w:t>
      </w:r>
    </w:p>
    <w:p w:rsidR="00B762A2" w:rsidRDefault="00B762A2" w:rsidP="001561B8">
      <w:pPr>
        <w:ind w:left="864" w:hanging="288"/>
      </w:pPr>
    </w:p>
    <w:p w:rsidR="003033AA" w:rsidRDefault="003033AA" w:rsidP="001561B8">
      <w:pPr>
        <w:ind w:left="864" w:hanging="288"/>
      </w:pPr>
    </w:p>
    <w:p w:rsidR="00C018FD" w:rsidRPr="00D6120E" w:rsidRDefault="00C018FD" w:rsidP="00C018FD">
      <w:pPr>
        <w:spacing w:after="120"/>
        <w:ind w:left="288"/>
        <w:rPr>
          <w:b/>
          <w:i/>
          <w:sz w:val="28"/>
          <w:szCs w:val="28"/>
        </w:rPr>
      </w:pPr>
      <w:r w:rsidRPr="00D6120E">
        <w:rPr>
          <w:b/>
          <w:i/>
          <w:sz w:val="28"/>
          <w:szCs w:val="28"/>
        </w:rPr>
        <w:t>C. Program Assessment</w:t>
      </w:r>
    </w:p>
    <w:p w:rsidR="00C018FD" w:rsidRPr="00A23F64" w:rsidRDefault="00C018FD" w:rsidP="00C018FD">
      <w:pPr>
        <w:ind w:left="576"/>
        <w:rPr>
          <w:b/>
        </w:rPr>
      </w:pPr>
      <w:r w:rsidRPr="00D6120E">
        <w:rPr>
          <w:b/>
        </w:rPr>
        <w:t>Procedure, Criteria, and Methods for Program Assessment</w:t>
      </w:r>
      <w:r>
        <w:rPr>
          <w:b/>
        </w:rPr>
        <w:t>:</w:t>
      </w:r>
      <w:r w:rsidRPr="00A23F64">
        <w:rPr>
          <w:b/>
        </w:rPr>
        <w:t xml:space="preserve">  </w:t>
      </w:r>
      <w:r w:rsidRPr="00A23F64">
        <w:rPr>
          <w:i/>
          <w:highlight w:val="yellow"/>
        </w:rPr>
        <w:t>– standard statement (prepared by institution or department)</w:t>
      </w:r>
      <w:r>
        <w:rPr>
          <w:i/>
          <w:highlight w:val="yellow"/>
        </w:rPr>
        <w:t xml:space="preserve"> that addresses the use of student surveys and gives an overview of how the learning outcomes are assessed</w:t>
      </w:r>
      <w:r w:rsidRPr="00A23F64">
        <w:rPr>
          <w:i/>
          <w:highlight w:val="yellow"/>
        </w:rPr>
        <w:t>.</w:t>
      </w:r>
      <w:r w:rsidRPr="00A23F64">
        <w:rPr>
          <w:i/>
        </w:rPr>
        <w:t xml:space="preserve"> </w:t>
      </w:r>
    </w:p>
    <w:p w:rsidR="00C018FD" w:rsidRPr="00A23F64" w:rsidRDefault="00C018FD" w:rsidP="00C018FD">
      <w:pPr>
        <w:ind w:left="576"/>
        <w:rPr>
          <w:b/>
        </w:rPr>
      </w:pPr>
    </w:p>
    <w:p w:rsidR="00C018FD" w:rsidRDefault="00C018FD" w:rsidP="00C018FD">
      <w:pPr>
        <w:ind w:left="576"/>
      </w:pPr>
      <w:r w:rsidRPr="00E81EAE">
        <w:rPr>
          <w:b/>
        </w:rPr>
        <w:t>Student Placement/Transfer Data</w:t>
      </w:r>
      <w:r>
        <w:rPr>
          <w:b/>
        </w:rPr>
        <w:t>:</w:t>
      </w:r>
      <w:r>
        <w:t xml:space="preserve">  </w:t>
      </w:r>
      <w:r w:rsidR="00CC2D0B" w:rsidRPr="00DE4427">
        <w:t xml:space="preserve">A graduate survey is administered annually by the Institutional Research office. </w:t>
      </w:r>
      <w:r w:rsidR="00DE4427">
        <w:t xml:space="preserve"> </w:t>
      </w:r>
      <w:r w:rsidR="00CC2D0B" w:rsidRPr="00DE4427">
        <w:t xml:space="preserve">In addition to the data collected on the survey, student data </w:t>
      </w:r>
      <w:r w:rsidR="00DE4427">
        <w:t>are</w:t>
      </w:r>
      <w:r w:rsidR="00CC2D0B" w:rsidRPr="00DE4427">
        <w:t xml:space="preserve"> sent to the National Clearinghouse, which provides information regarding where students are transferring to.</w:t>
      </w:r>
      <w:r w:rsidR="00DE4427">
        <w:t xml:space="preserve"> </w:t>
      </w:r>
      <w:r w:rsidR="00CC2D0B" w:rsidRPr="00DE4427">
        <w:t xml:space="preserve"> While only approximately 20% of our graduates complete and </w:t>
      </w:r>
      <w:r w:rsidR="00CC2D0B" w:rsidRPr="00DE4427">
        <w:lastRenderedPageBreak/>
        <w:t>return the survey, we are able to capture data on where students are transferring to for the majority of the graduating class</w:t>
      </w:r>
      <w:r w:rsidR="00DE4427">
        <w:t>.</w:t>
      </w:r>
    </w:p>
    <w:p w:rsidR="00DE4427" w:rsidRDefault="00DE4427" w:rsidP="00C018FD">
      <w:pPr>
        <w:ind w:left="576"/>
      </w:pPr>
    </w:p>
    <w:p w:rsidR="00DE4427" w:rsidRPr="005E1C6F" w:rsidRDefault="00DE4427" w:rsidP="00DE4427">
      <w:pPr>
        <w:ind w:left="576"/>
        <w:rPr>
          <w:i/>
        </w:rPr>
      </w:pPr>
      <w:r w:rsidRPr="00317B70">
        <w:rPr>
          <w:i/>
          <w:highlight w:val="yellow"/>
        </w:rPr>
        <w:t>Note to department chairs: if you have your own survey data, please feel free to use it</w:t>
      </w:r>
      <w:r>
        <w:rPr>
          <w:i/>
          <w:highlight w:val="yellow"/>
        </w:rPr>
        <w:t xml:space="preserve"> in the table below</w:t>
      </w:r>
      <w:r w:rsidRPr="00317B70">
        <w:rPr>
          <w:i/>
          <w:highlight w:val="yellow"/>
        </w:rPr>
        <w:t xml:space="preserve"> (and modify footnote 2 to identify the data).  </w:t>
      </w:r>
      <w:r>
        <w:rPr>
          <w:i/>
          <w:highlight w:val="yellow"/>
        </w:rPr>
        <w:t xml:space="preserve">You should also discuss your survey here.  </w:t>
      </w:r>
      <w:r w:rsidRPr="00317B70">
        <w:rPr>
          <w:i/>
          <w:highlight w:val="yellow"/>
        </w:rPr>
        <w:t>IR usually only gets about a 20% response rate so department surveys often provide a more complete picture of transfer and employment.  Please share your survey data with IR.</w:t>
      </w:r>
    </w:p>
    <w:p w:rsidR="00DE4427" w:rsidRDefault="00DE4427" w:rsidP="00C018FD">
      <w:pPr>
        <w:ind w:left="576"/>
      </w:pPr>
    </w:p>
    <w:p w:rsidR="00DE4427" w:rsidRDefault="00DE4427" w:rsidP="00C018FD">
      <w:pPr>
        <w:ind w:left="576"/>
      </w:pPr>
    </w:p>
    <w:p w:rsidR="00DE4427" w:rsidRDefault="00DE4427" w:rsidP="00C018FD">
      <w:pPr>
        <w:ind w:left="576"/>
      </w:pPr>
    </w:p>
    <w:p w:rsidR="00296CA3" w:rsidRDefault="00296CA3" w:rsidP="00C018FD">
      <w:pPr>
        <w:ind w:left="576"/>
      </w:pPr>
    </w:p>
    <w:p w:rsidR="00296CA3" w:rsidRDefault="00296CA3" w:rsidP="00C018FD">
      <w:pPr>
        <w:ind w:left="576"/>
      </w:pPr>
    </w:p>
    <w:p w:rsidR="00296CA3" w:rsidRDefault="00296CA3" w:rsidP="00C018FD">
      <w:pPr>
        <w:ind w:left="576"/>
      </w:pPr>
    </w:p>
    <w:p w:rsidR="00C018FD" w:rsidRDefault="00C018FD" w:rsidP="00C018FD">
      <w:pPr>
        <w:ind w:left="576"/>
      </w:pPr>
    </w:p>
    <w:p w:rsidR="00C018FD" w:rsidRDefault="00C018FD" w:rsidP="00C018FD">
      <w:pPr>
        <w:ind w:left="576"/>
      </w:pPr>
    </w:p>
    <w:p w:rsidR="00C018FD" w:rsidRPr="00A7635C" w:rsidRDefault="00C018FD" w:rsidP="00C018FD">
      <w:pPr>
        <w:ind w:left="864" w:hanging="288"/>
        <w:jc w:val="center"/>
      </w:pPr>
      <w:r w:rsidRPr="005729DE">
        <w:t>Table 5.  Transfer</w:t>
      </w:r>
      <w:r>
        <w:t xml:space="preserve"> and </w:t>
      </w:r>
      <w:r w:rsidR="00C61B89">
        <w:t>E</w:t>
      </w:r>
      <w:r>
        <w:t xml:space="preserve">mployment </w:t>
      </w:r>
      <w:r w:rsidR="00C61B89">
        <w:t>T</w:t>
      </w:r>
      <w:r>
        <w:t xml:space="preserve">rends by </w:t>
      </w:r>
      <w:r w:rsidR="00C61B89">
        <w:t>Y</w:t>
      </w:r>
      <w:r>
        <w:t xml:space="preserve">ear of </w:t>
      </w:r>
      <w:r w:rsidR="00C61B89">
        <w:t>G</w:t>
      </w:r>
      <w:r>
        <w:t>raduation</w:t>
      </w:r>
      <w:r w:rsidR="00C61B89">
        <w:t xml:space="preserve"> </w:t>
      </w:r>
      <w:r>
        <w:t xml:space="preserve"> </w:t>
      </w:r>
      <w:r w:rsidRPr="00296CA3">
        <w:rPr>
          <w:i/>
        </w:rPr>
        <w:t>[</w:t>
      </w:r>
      <w:r w:rsidRPr="00296CA3">
        <w:rPr>
          <w:b/>
          <w:i/>
        </w:rPr>
        <w:t>IR updates yearly</w:t>
      </w:r>
      <w:r w:rsidRPr="00296CA3">
        <w:rPr>
          <w:i/>
        </w:rPr>
        <w:t>]</w:t>
      </w:r>
    </w:p>
    <w:p w:rsidR="00143167" w:rsidRDefault="00143167" w:rsidP="00143167">
      <w:pPr>
        <w:ind w:left="864" w:hanging="288"/>
        <w:jc w:val="right"/>
      </w:pPr>
    </w:p>
    <w:tbl>
      <w:tblPr>
        <w:tblW w:w="86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4495"/>
        <w:gridCol w:w="829"/>
        <w:gridCol w:w="829"/>
        <w:gridCol w:w="829"/>
        <w:gridCol w:w="829"/>
        <w:gridCol w:w="829"/>
      </w:tblGrid>
      <w:tr w:rsidR="00293503" w:rsidTr="00293503">
        <w:tc>
          <w:tcPr>
            <w:tcW w:w="4495" w:type="dxa"/>
            <w:tcBorders>
              <w:top w:val="nil"/>
              <w:left w:val="nil"/>
            </w:tcBorders>
          </w:tcPr>
          <w:p w:rsidR="00293503" w:rsidRDefault="00293503" w:rsidP="00293503">
            <w:pPr>
              <w:jc w:val="center"/>
            </w:pPr>
          </w:p>
        </w:tc>
        <w:tc>
          <w:tcPr>
            <w:tcW w:w="829" w:type="dxa"/>
            <w:vAlign w:val="center"/>
          </w:tcPr>
          <w:p w:rsidR="00293503" w:rsidRDefault="00071771" w:rsidP="00293503">
            <w:pPr>
              <w:jc w:val="center"/>
            </w:pPr>
            <w:r>
              <w:t>20</w:t>
            </w:r>
            <w:r w:rsidR="00F33837">
              <w:t>20</w:t>
            </w:r>
          </w:p>
        </w:tc>
        <w:tc>
          <w:tcPr>
            <w:tcW w:w="829" w:type="dxa"/>
            <w:vAlign w:val="center"/>
          </w:tcPr>
          <w:p w:rsidR="00293503" w:rsidRDefault="00071771" w:rsidP="00293503">
            <w:pPr>
              <w:jc w:val="center"/>
            </w:pPr>
            <w:r>
              <w:t>202</w:t>
            </w:r>
            <w:r w:rsidR="00F33837">
              <w:t>1</w:t>
            </w:r>
          </w:p>
        </w:tc>
        <w:tc>
          <w:tcPr>
            <w:tcW w:w="829" w:type="dxa"/>
            <w:vAlign w:val="center"/>
          </w:tcPr>
          <w:p w:rsidR="00293503" w:rsidRDefault="00071771" w:rsidP="00293503">
            <w:pPr>
              <w:jc w:val="center"/>
            </w:pPr>
            <w:r>
              <w:t>202</w:t>
            </w:r>
            <w:r w:rsidR="00F33837">
              <w:t>2</w:t>
            </w:r>
          </w:p>
        </w:tc>
        <w:tc>
          <w:tcPr>
            <w:tcW w:w="829" w:type="dxa"/>
            <w:vAlign w:val="center"/>
          </w:tcPr>
          <w:p w:rsidR="00293503" w:rsidRDefault="00071771" w:rsidP="00293503">
            <w:pPr>
              <w:jc w:val="center"/>
            </w:pPr>
            <w:r>
              <w:t>202</w:t>
            </w:r>
            <w:r w:rsidR="00F33837">
              <w:t>3</w:t>
            </w:r>
          </w:p>
        </w:tc>
        <w:tc>
          <w:tcPr>
            <w:tcW w:w="829" w:type="dxa"/>
            <w:vAlign w:val="center"/>
          </w:tcPr>
          <w:p w:rsidR="00293503" w:rsidRDefault="00071771" w:rsidP="00293503">
            <w:pPr>
              <w:jc w:val="center"/>
            </w:pPr>
            <w:r>
              <w:t>202</w:t>
            </w:r>
            <w:r w:rsidR="00F33837">
              <w:t>4</w:t>
            </w:r>
          </w:p>
        </w:tc>
      </w:tr>
      <w:tr w:rsidR="00293503" w:rsidTr="00293503">
        <w:tc>
          <w:tcPr>
            <w:tcW w:w="4495" w:type="dxa"/>
          </w:tcPr>
          <w:p w:rsidR="00293503" w:rsidRDefault="00293503" w:rsidP="00293503">
            <w:pPr>
              <w:spacing w:before="120" w:after="120"/>
              <w:ind w:left="144"/>
            </w:pPr>
            <w:r>
              <w:t>Total number of graduates of this program</w:t>
            </w: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r>
      <w:tr w:rsidR="00293503" w:rsidTr="00293503">
        <w:tc>
          <w:tcPr>
            <w:tcW w:w="4495" w:type="dxa"/>
            <w:tcBorders>
              <w:bottom w:val="double" w:sz="4" w:space="0" w:color="auto"/>
            </w:tcBorders>
          </w:tcPr>
          <w:p w:rsidR="00293503" w:rsidRDefault="00293503" w:rsidP="00293503">
            <w:pPr>
              <w:ind w:left="144"/>
            </w:pPr>
            <w:r>
              <w:t>Number now enrolled in baccalaureate programs</w:t>
            </w:r>
            <w:r w:rsidRPr="00F9361F">
              <w:rPr>
                <w:vertAlign w:val="superscript"/>
              </w:rPr>
              <w:t xml:space="preserve"> </w:t>
            </w:r>
          </w:p>
        </w:tc>
        <w:tc>
          <w:tcPr>
            <w:tcW w:w="829" w:type="dxa"/>
            <w:tcBorders>
              <w:bottom w:val="double" w:sz="4" w:space="0" w:color="auto"/>
            </w:tcBorders>
            <w:vAlign w:val="center"/>
          </w:tcPr>
          <w:p w:rsidR="00293503" w:rsidRDefault="00293503" w:rsidP="00293503">
            <w:pPr>
              <w:jc w:val="center"/>
            </w:pPr>
          </w:p>
        </w:tc>
        <w:tc>
          <w:tcPr>
            <w:tcW w:w="829" w:type="dxa"/>
            <w:tcBorders>
              <w:bottom w:val="double" w:sz="4" w:space="0" w:color="auto"/>
            </w:tcBorders>
            <w:vAlign w:val="center"/>
          </w:tcPr>
          <w:p w:rsidR="00293503" w:rsidRDefault="00293503" w:rsidP="00293503">
            <w:pPr>
              <w:jc w:val="center"/>
            </w:pPr>
          </w:p>
        </w:tc>
        <w:tc>
          <w:tcPr>
            <w:tcW w:w="829" w:type="dxa"/>
            <w:tcBorders>
              <w:bottom w:val="double" w:sz="4" w:space="0" w:color="auto"/>
            </w:tcBorders>
            <w:vAlign w:val="center"/>
          </w:tcPr>
          <w:p w:rsidR="00293503" w:rsidRDefault="00293503" w:rsidP="00293503">
            <w:pPr>
              <w:jc w:val="center"/>
            </w:pPr>
          </w:p>
        </w:tc>
        <w:tc>
          <w:tcPr>
            <w:tcW w:w="829" w:type="dxa"/>
            <w:tcBorders>
              <w:bottom w:val="double" w:sz="4" w:space="0" w:color="auto"/>
            </w:tcBorders>
            <w:vAlign w:val="center"/>
          </w:tcPr>
          <w:p w:rsidR="00293503" w:rsidRDefault="00293503" w:rsidP="00293503">
            <w:pPr>
              <w:jc w:val="center"/>
            </w:pPr>
          </w:p>
        </w:tc>
        <w:tc>
          <w:tcPr>
            <w:tcW w:w="829" w:type="dxa"/>
            <w:tcBorders>
              <w:bottom w:val="double" w:sz="4" w:space="0" w:color="auto"/>
            </w:tcBorders>
            <w:vAlign w:val="center"/>
          </w:tcPr>
          <w:p w:rsidR="00293503" w:rsidRDefault="00293503" w:rsidP="00293503">
            <w:pPr>
              <w:jc w:val="center"/>
            </w:pPr>
          </w:p>
        </w:tc>
      </w:tr>
      <w:tr w:rsidR="00293503" w:rsidTr="00293503">
        <w:tc>
          <w:tcPr>
            <w:tcW w:w="4495" w:type="dxa"/>
            <w:tcBorders>
              <w:top w:val="double" w:sz="4" w:space="0" w:color="auto"/>
            </w:tcBorders>
          </w:tcPr>
          <w:p w:rsidR="00293503" w:rsidRPr="00C61B89" w:rsidRDefault="00293503" w:rsidP="00293503">
            <w:pPr>
              <w:spacing w:before="120" w:after="120"/>
              <w:ind w:left="144"/>
              <w:rPr>
                <w:vertAlign w:val="superscript"/>
              </w:rPr>
            </w:pPr>
            <w:r>
              <w:t>Number responding to survey</w:t>
            </w:r>
            <w:r>
              <w:rPr>
                <w:vertAlign w:val="superscript"/>
              </w:rPr>
              <w:t xml:space="preserve"> </w:t>
            </w:r>
          </w:p>
        </w:tc>
        <w:tc>
          <w:tcPr>
            <w:tcW w:w="829" w:type="dxa"/>
            <w:tcBorders>
              <w:top w:val="double" w:sz="4" w:space="0" w:color="auto"/>
            </w:tcBorders>
            <w:vAlign w:val="center"/>
          </w:tcPr>
          <w:p w:rsidR="00293503" w:rsidRDefault="00293503" w:rsidP="00293503">
            <w:pPr>
              <w:jc w:val="center"/>
            </w:pPr>
          </w:p>
        </w:tc>
        <w:tc>
          <w:tcPr>
            <w:tcW w:w="829" w:type="dxa"/>
            <w:tcBorders>
              <w:top w:val="double" w:sz="4" w:space="0" w:color="auto"/>
            </w:tcBorders>
            <w:vAlign w:val="center"/>
          </w:tcPr>
          <w:p w:rsidR="00293503" w:rsidRDefault="00293503" w:rsidP="00293503">
            <w:pPr>
              <w:jc w:val="center"/>
            </w:pPr>
          </w:p>
        </w:tc>
        <w:tc>
          <w:tcPr>
            <w:tcW w:w="829" w:type="dxa"/>
            <w:tcBorders>
              <w:top w:val="double" w:sz="4" w:space="0" w:color="auto"/>
            </w:tcBorders>
            <w:vAlign w:val="center"/>
          </w:tcPr>
          <w:p w:rsidR="00293503" w:rsidRDefault="00293503" w:rsidP="00293503">
            <w:pPr>
              <w:jc w:val="center"/>
            </w:pPr>
          </w:p>
        </w:tc>
        <w:tc>
          <w:tcPr>
            <w:tcW w:w="829" w:type="dxa"/>
            <w:tcBorders>
              <w:top w:val="double" w:sz="4" w:space="0" w:color="auto"/>
            </w:tcBorders>
            <w:vAlign w:val="center"/>
          </w:tcPr>
          <w:p w:rsidR="00293503" w:rsidRDefault="00293503" w:rsidP="00293503">
            <w:pPr>
              <w:jc w:val="center"/>
            </w:pPr>
          </w:p>
        </w:tc>
        <w:tc>
          <w:tcPr>
            <w:tcW w:w="829" w:type="dxa"/>
            <w:tcBorders>
              <w:top w:val="double" w:sz="4" w:space="0" w:color="auto"/>
            </w:tcBorders>
            <w:vAlign w:val="center"/>
          </w:tcPr>
          <w:p w:rsidR="00293503" w:rsidRDefault="00293503" w:rsidP="00293503">
            <w:pPr>
              <w:jc w:val="center"/>
            </w:pPr>
          </w:p>
        </w:tc>
      </w:tr>
      <w:tr w:rsidR="00293503" w:rsidTr="00293503">
        <w:tc>
          <w:tcPr>
            <w:tcW w:w="4495" w:type="dxa"/>
          </w:tcPr>
          <w:p w:rsidR="00293503" w:rsidRPr="00F9361F" w:rsidRDefault="00293503" w:rsidP="00293503">
            <w:pPr>
              <w:spacing w:before="120" w:after="120"/>
              <w:ind w:left="144"/>
              <w:rPr>
                <w:vertAlign w:val="superscript"/>
              </w:rPr>
            </w:pPr>
            <w:r>
              <w:t xml:space="preserve">   # in school</w:t>
            </w:r>
            <w:r>
              <w:rPr>
                <w:vertAlign w:val="superscript"/>
              </w:rPr>
              <w:t xml:space="preserve"> </w:t>
            </w: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r>
      <w:tr w:rsidR="00293503" w:rsidTr="00293503">
        <w:tc>
          <w:tcPr>
            <w:tcW w:w="4495" w:type="dxa"/>
          </w:tcPr>
          <w:p w:rsidR="00293503" w:rsidRPr="00906998" w:rsidRDefault="00293503" w:rsidP="00293503">
            <w:pPr>
              <w:spacing w:before="120" w:after="120"/>
              <w:ind w:left="144"/>
            </w:pPr>
            <w:r>
              <w:t xml:space="preserve">   # in related program</w:t>
            </w:r>
            <w:r w:rsidRPr="00F9361F">
              <w:rPr>
                <w:vertAlign w:val="superscript"/>
              </w:rPr>
              <w:t xml:space="preserve"> </w:t>
            </w: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r>
      <w:tr w:rsidR="00293503" w:rsidTr="00293503">
        <w:tc>
          <w:tcPr>
            <w:tcW w:w="4495" w:type="dxa"/>
          </w:tcPr>
          <w:p w:rsidR="00293503" w:rsidRPr="00F9361F" w:rsidRDefault="00293503" w:rsidP="00293503">
            <w:pPr>
              <w:spacing w:before="120" w:after="120"/>
              <w:ind w:left="144"/>
              <w:rPr>
                <w:vertAlign w:val="superscript"/>
              </w:rPr>
            </w:pPr>
            <w:r>
              <w:t xml:space="preserve">   # employed</w:t>
            </w:r>
            <w:r>
              <w:rPr>
                <w:vertAlign w:val="superscript"/>
              </w:rPr>
              <w:t xml:space="preserve"> </w:t>
            </w: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r>
      <w:tr w:rsidR="00293503" w:rsidTr="00293503">
        <w:tc>
          <w:tcPr>
            <w:tcW w:w="4495" w:type="dxa"/>
          </w:tcPr>
          <w:p w:rsidR="00293503" w:rsidRPr="00906998" w:rsidRDefault="00293503" w:rsidP="00293503">
            <w:pPr>
              <w:spacing w:before="120" w:after="120"/>
              <w:ind w:left="144"/>
            </w:pPr>
            <w:r>
              <w:t xml:space="preserve">   # employed in field</w:t>
            </w:r>
            <w:r w:rsidRPr="00F9361F">
              <w:rPr>
                <w:vertAlign w:val="superscript"/>
              </w:rPr>
              <w:t xml:space="preserve"> </w:t>
            </w: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c>
          <w:tcPr>
            <w:tcW w:w="829" w:type="dxa"/>
            <w:vAlign w:val="center"/>
          </w:tcPr>
          <w:p w:rsidR="00293503" w:rsidRDefault="00293503" w:rsidP="00293503">
            <w:pPr>
              <w:jc w:val="center"/>
            </w:pPr>
          </w:p>
        </w:tc>
      </w:tr>
    </w:tbl>
    <w:p w:rsidR="00C018FD" w:rsidRPr="0065671C" w:rsidRDefault="00C018FD" w:rsidP="0065671C">
      <w:pPr>
        <w:ind w:left="576"/>
        <w:rPr>
          <w:sz w:val="20"/>
          <w:szCs w:val="20"/>
        </w:rPr>
      </w:pPr>
      <w:r>
        <w:rPr>
          <w:sz w:val="20"/>
          <w:szCs w:val="20"/>
        </w:rPr>
        <w:t xml:space="preserve">      Data from Institutional Research survey.  Choice of </w:t>
      </w:r>
      <w:r w:rsidRPr="006A6475">
        <w:rPr>
          <w:i/>
          <w:sz w:val="20"/>
          <w:szCs w:val="20"/>
        </w:rPr>
        <w:t>related</w:t>
      </w:r>
      <w:r>
        <w:rPr>
          <w:sz w:val="20"/>
          <w:szCs w:val="20"/>
        </w:rPr>
        <w:t xml:space="preserve"> and </w:t>
      </w:r>
      <w:r w:rsidRPr="006A6475">
        <w:rPr>
          <w:i/>
          <w:sz w:val="20"/>
          <w:szCs w:val="20"/>
        </w:rPr>
        <w:t>in field</w:t>
      </w:r>
      <w:r w:rsidRPr="000249C7">
        <w:rPr>
          <w:sz w:val="20"/>
          <w:szCs w:val="20"/>
        </w:rPr>
        <w:t xml:space="preserve"> </w:t>
      </w:r>
      <w:r>
        <w:rPr>
          <w:sz w:val="20"/>
          <w:szCs w:val="20"/>
        </w:rPr>
        <w:t>is made by the student.</w:t>
      </w:r>
    </w:p>
    <w:p w:rsidR="00C018FD" w:rsidRDefault="00C018FD" w:rsidP="00C018FD">
      <w:pPr>
        <w:ind w:left="864" w:hanging="288"/>
      </w:pPr>
    </w:p>
    <w:p w:rsidR="00296CA3" w:rsidRPr="005E1C6F" w:rsidRDefault="00296CA3" w:rsidP="00296CA3">
      <w:pPr>
        <w:ind w:left="576"/>
        <w:rPr>
          <w:i/>
        </w:rPr>
      </w:pPr>
      <w:r w:rsidRPr="00317B70">
        <w:rPr>
          <w:i/>
          <w:highlight w:val="yellow"/>
        </w:rPr>
        <w:t xml:space="preserve">Note to department chairs: if you have your own survey data, please feel free to use it here (and modify footnote </w:t>
      </w:r>
      <w:r>
        <w:rPr>
          <w:i/>
          <w:highlight w:val="yellow"/>
        </w:rPr>
        <w:t>1</w:t>
      </w:r>
      <w:r w:rsidRPr="00317B70">
        <w:rPr>
          <w:i/>
          <w:highlight w:val="yellow"/>
        </w:rPr>
        <w:t xml:space="preserve"> to identify the data).  IR usually only gets about a 20% response rate so department surveys often provide a more complete picture of transfer and employment.  Please share your survey data with IR.</w:t>
      </w:r>
    </w:p>
    <w:p w:rsidR="00A23F64" w:rsidRDefault="00A23F64" w:rsidP="00A23F64">
      <w:pPr>
        <w:ind w:left="576"/>
      </w:pPr>
    </w:p>
    <w:p w:rsidR="00296CA3" w:rsidRDefault="00296CA3" w:rsidP="00A23F64">
      <w:pPr>
        <w:ind w:left="576"/>
        <w:rPr>
          <w:b/>
        </w:rPr>
      </w:pPr>
      <w:bookmarkStart w:id="1" w:name="_Hlk528871894"/>
    </w:p>
    <w:p w:rsidR="00A23F64" w:rsidRDefault="00A23F64" w:rsidP="00A23F64">
      <w:pPr>
        <w:ind w:left="576"/>
        <w:rPr>
          <w:i/>
        </w:rPr>
      </w:pPr>
      <w:r w:rsidRPr="00E81EAE">
        <w:rPr>
          <w:b/>
        </w:rPr>
        <w:t>Student Survey Data:</w:t>
      </w:r>
      <w:r>
        <w:t xml:space="preserve">  </w:t>
      </w:r>
      <w:r w:rsidRPr="00B762A2">
        <w:rPr>
          <w:highlight w:val="yellow"/>
        </w:rPr>
        <w:t xml:space="preserve">– </w:t>
      </w:r>
      <w:r w:rsidRPr="00B762A2">
        <w:rPr>
          <w:i/>
          <w:highlight w:val="yellow"/>
        </w:rPr>
        <w:t xml:space="preserve">should summarize the survey data from current students and the survey data from graduates of the program.  </w:t>
      </w:r>
      <w:r>
        <w:rPr>
          <w:i/>
          <w:highlight w:val="yellow"/>
        </w:rPr>
        <w:t xml:space="preserve">Need to develop tables for reporting results.  </w:t>
      </w:r>
      <w:r w:rsidRPr="00B762A2">
        <w:rPr>
          <w:i/>
          <w:highlight w:val="yellow"/>
        </w:rPr>
        <w:t>We should have a college-wide (or department-based) set of core questions on the survey with room for additional program-specific questions.  Th</w:t>
      </w:r>
      <w:r>
        <w:rPr>
          <w:i/>
          <w:highlight w:val="yellow"/>
        </w:rPr>
        <w:t xml:space="preserve">is </w:t>
      </w:r>
      <w:r w:rsidRPr="00AB21E0">
        <w:rPr>
          <w:i/>
          <w:highlight w:val="yellow"/>
        </w:rPr>
        <w:t>survey</w:t>
      </w:r>
      <w:r>
        <w:rPr>
          <w:i/>
          <w:highlight w:val="yellow"/>
        </w:rPr>
        <w:t xml:space="preserve"> is</w:t>
      </w:r>
      <w:r w:rsidRPr="00AB21E0">
        <w:rPr>
          <w:i/>
          <w:highlight w:val="yellow"/>
        </w:rPr>
        <w:t xml:space="preserve"> initiated by Institutional </w:t>
      </w:r>
      <w:r>
        <w:rPr>
          <w:i/>
          <w:highlight w:val="yellow"/>
        </w:rPr>
        <w:t>R</w:t>
      </w:r>
      <w:r w:rsidRPr="00AB21E0">
        <w:rPr>
          <w:i/>
          <w:highlight w:val="yellow"/>
        </w:rPr>
        <w:t>esearch</w:t>
      </w:r>
      <w:r>
        <w:rPr>
          <w:i/>
          <w:highlight w:val="yellow"/>
        </w:rPr>
        <w:t>.</w:t>
      </w:r>
    </w:p>
    <w:p w:rsidR="00060A68" w:rsidRDefault="00060A68" w:rsidP="00A23F64">
      <w:pPr>
        <w:ind w:left="576"/>
        <w:rPr>
          <w:i/>
        </w:rPr>
      </w:pPr>
    </w:p>
    <w:bookmarkEnd w:id="1"/>
    <w:p w:rsidR="00A23F64" w:rsidRDefault="00A23F64" w:rsidP="00D6120E">
      <w:pPr>
        <w:ind w:left="576"/>
      </w:pPr>
    </w:p>
    <w:p w:rsidR="00A23F64" w:rsidRDefault="00696455" w:rsidP="00D6120E">
      <w:pPr>
        <w:ind w:left="576"/>
      </w:pPr>
      <w:r w:rsidRPr="00D6120E">
        <w:rPr>
          <w:b/>
        </w:rPr>
        <w:t>Assessment Results for Learning Outcomes</w:t>
      </w:r>
      <w:r w:rsidR="00D6120E" w:rsidRPr="00D6120E">
        <w:rPr>
          <w:b/>
        </w:rPr>
        <w:t>:</w:t>
      </w:r>
      <w:r w:rsidR="007D7C69">
        <w:t xml:space="preserve"> </w:t>
      </w:r>
      <w:r w:rsidR="00B762A2">
        <w:t xml:space="preserve"> </w:t>
      </w:r>
      <w:r w:rsidR="00A23F64">
        <w:t xml:space="preserve">Tables </w:t>
      </w:r>
      <w:r w:rsidR="005673F7">
        <w:t>6</w:t>
      </w:r>
      <w:r w:rsidR="00A23F64">
        <w:t xml:space="preserve"> summarize the results of the learning outcomes assessment and </w:t>
      </w:r>
      <w:r w:rsidR="007F48F7">
        <w:t xml:space="preserve">Table </w:t>
      </w:r>
      <w:r w:rsidR="005673F7">
        <w:t>7</w:t>
      </w:r>
      <w:r w:rsidR="007F48F7">
        <w:t xml:space="preserve"> summarizes </w:t>
      </w:r>
      <w:r w:rsidR="00A23F64">
        <w:t>the actions to be taken as a result of what was learned in the assessment.</w:t>
      </w:r>
    </w:p>
    <w:p w:rsidR="00A23F64" w:rsidRDefault="00A23F64" w:rsidP="00D6120E">
      <w:pPr>
        <w:ind w:left="576"/>
        <w:rPr>
          <w:highlight w:val="yellow"/>
        </w:rPr>
      </w:pPr>
    </w:p>
    <w:p w:rsidR="00696455" w:rsidRDefault="003B0749" w:rsidP="00D6120E">
      <w:pPr>
        <w:ind w:left="576"/>
      </w:pPr>
      <w:r w:rsidRPr="007F48F7">
        <w:rPr>
          <w:i/>
          <w:highlight w:val="yellow"/>
        </w:rPr>
        <w:t xml:space="preserve">Note: the first two columns of </w:t>
      </w:r>
      <w:r w:rsidR="007F48F7" w:rsidRPr="007F48F7">
        <w:rPr>
          <w:i/>
          <w:highlight w:val="yellow"/>
        </w:rPr>
        <w:t>T</w:t>
      </w:r>
      <w:r w:rsidRPr="007F48F7">
        <w:rPr>
          <w:i/>
          <w:highlight w:val="yellow"/>
        </w:rPr>
        <w:t xml:space="preserve">able </w:t>
      </w:r>
      <w:r w:rsidR="009826C1">
        <w:rPr>
          <w:i/>
          <w:highlight w:val="yellow"/>
        </w:rPr>
        <w:t>6</w:t>
      </w:r>
      <w:r w:rsidR="007F48F7" w:rsidRPr="007F48F7">
        <w:rPr>
          <w:i/>
          <w:highlight w:val="yellow"/>
        </w:rPr>
        <w:t xml:space="preserve"> </w:t>
      </w:r>
      <w:r w:rsidRPr="007F48F7">
        <w:rPr>
          <w:i/>
          <w:highlight w:val="yellow"/>
        </w:rPr>
        <w:t>can be copied directly into the top-of-the-page locations on page 2 of the “Assessment of Student Learning Outcomes in the Major Summary report” form required by SUNY.</w:t>
      </w:r>
      <w:r w:rsidR="007F48F7" w:rsidRPr="007F48F7">
        <w:rPr>
          <w:i/>
          <w:highlight w:val="yellow"/>
        </w:rPr>
        <w:t xml:space="preserve">  Table </w:t>
      </w:r>
      <w:r w:rsidR="009826C1">
        <w:rPr>
          <w:i/>
          <w:highlight w:val="yellow"/>
        </w:rPr>
        <w:t>7</w:t>
      </w:r>
      <w:r w:rsidR="007F48F7" w:rsidRPr="007F48F7">
        <w:rPr>
          <w:i/>
          <w:highlight w:val="yellow"/>
        </w:rPr>
        <w:t xml:space="preserve"> can be copied directly into the middle-of-the-page location on this same form.  Note </w:t>
      </w:r>
      <w:r w:rsidR="007F48F7">
        <w:rPr>
          <w:i/>
          <w:highlight w:val="yellow"/>
        </w:rPr>
        <w:t>also that you are not expected to act on every learning outcome at once.  Focus immediate attention on some of the most important ones and set a schedule for addressing the others.</w:t>
      </w:r>
    </w:p>
    <w:p w:rsidR="00B762A2" w:rsidRDefault="00B762A2" w:rsidP="00D6120E">
      <w:pPr>
        <w:ind w:left="576"/>
      </w:pPr>
    </w:p>
    <w:p w:rsidR="000333F8" w:rsidRDefault="000333F8" w:rsidP="00D6120E">
      <w:pPr>
        <w:ind w:left="576"/>
      </w:pPr>
    </w:p>
    <w:p w:rsidR="000333F8" w:rsidRDefault="000333F8" w:rsidP="00D6120E">
      <w:pPr>
        <w:ind w:left="576"/>
        <w:sectPr w:rsidR="000333F8" w:rsidSect="000333F8">
          <w:footerReference w:type="even" r:id="rId7"/>
          <w:footerReference w:type="default" r:id="rId8"/>
          <w:pgSz w:w="12240" w:h="15840"/>
          <w:pgMar w:top="1440" w:right="1440" w:bottom="1440" w:left="1440" w:header="720" w:footer="720" w:gutter="0"/>
          <w:cols w:space="720"/>
          <w:docGrid w:linePitch="360"/>
        </w:sectPr>
      </w:pPr>
    </w:p>
    <w:p w:rsidR="000333F8" w:rsidRDefault="000333F8" w:rsidP="000333F8">
      <w:pPr>
        <w:jc w:val="center"/>
      </w:pPr>
      <w:r>
        <w:lastRenderedPageBreak/>
        <w:t xml:space="preserve">Table </w:t>
      </w:r>
      <w:r w:rsidR="009826C1">
        <w:t>6</w:t>
      </w:r>
      <w:r>
        <w:t xml:space="preserve">.  Student </w:t>
      </w:r>
      <w:r w:rsidR="0080568A">
        <w:t>M</w:t>
      </w:r>
      <w:r>
        <w:t xml:space="preserve">astery of </w:t>
      </w:r>
      <w:r w:rsidR="0080568A">
        <w:t>P</w:t>
      </w:r>
      <w:r>
        <w:t xml:space="preserve">rogram </w:t>
      </w:r>
      <w:r w:rsidR="0080568A">
        <w:t>L</w:t>
      </w:r>
      <w:r>
        <w:t xml:space="preserve">earning </w:t>
      </w:r>
      <w:r w:rsidR="0080568A">
        <w:t>O</w:t>
      </w:r>
      <w:r>
        <w:t>utcomes</w:t>
      </w:r>
    </w:p>
    <w:p w:rsidR="000333F8" w:rsidRDefault="000333F8" w:rsidP="000333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4"/>
        <w:gridCol w:w="3744"/>
        <w:gridCol w:w="3744"/>
        <w:gridCol w:w="2035"/>
      </w:tblGrid>
      <w:tr w:rsidR="000333F8" w:rsidRPr="00957231" w:rsidTr="00957231">
        <w:tc>
          <w:tcPr>
            <w:tcW w:w="3744" w:type="dxa"/>
            <w:vAlign w:val="center"/>
          </w:tcPr>
          <w:p w:rsidR="000333F8" w:rsidRPr="00957231" w:rsidRDefault="003B0749" w:rsidP="00957231">
            <w:pPr>
              <w:jc w:val="center"/>
              <w:rPr>
                <w:sz w:val="22"/>
                <w:szCs w:val="22"/>
              </w:rPr>
            </w:pPr>
            <w:r w:rsidRPr="00957231">
              <w:rPr>
                <w:sz w:val="22"/>
                <w:szCs w:val="22"/>
              </w:rPr>
              <w:t xml:space="preserve">Major </w:t>
            </w:r>
            <w:r w:rsidR="000333F8" w:rsidRPr="00957231">
              <w:rPr>
                <w:sz w:val="22"/>
                <w:szCs w:val="22"/>
              </w:rPr>
              <w:t>Learning Outcome</w:t>
            </w:r>
            <w:r w:rsidRPr="00957231">
              <w:rPr>
                <w:sz w:val="22"/>
                <w:szCs w:val="22"/>
              </w:rPr>
              <w:t>s for this program</w:t>
            </w:r>
          </w:p>
        </w:tc>
        <w:tc>
          <w:tcPr>
            <w:tcW w:w="3744" w:type="dxa"/>
            <w:vAlign w:val="center"/>
          </w:tcPr>
          <w:p w:rsidR="000333F8" w:rsidRPr="00957231" w:rsidRDefault="003B0749" w:rsidP="00957231">
            <w:pPr>
              <w:jc w:val="center"/>
              <w:rPr>
                <w:sz w:val="22"/>
                <w:szCs w:val="22"/>
              </w:rPr>
            </w:pPr>
            <w:r w:rsidRPr="00957231">
              <w:rPr>
                <w:sz w:val="22"/>
                <w:szCs w:val="22"/>
              </w:rPr>
              <w:t>Measures used to assess these learning outcomes (w</w:t>
            </w:r>
            <w:r w:rsidR="000333F8" w:rsidRPr="00957231">
              <w:rPr>
                <w:sz w:val="22"/>
                <w:szCs w:val="22"/>
              </w:rPr>
              <w:t>hen, where, and how assessed</w:t>
            </w:r>
            <w:r w:rsidRPr="00957231">
              <w:rPr>
                <w:sz w:val="22"/>
                <w:szCs w:val="22"/>
              </w:rPr>
              <w:t>).</w:t>
            </w:r>
          </w:p>
        </w:tc>
        <w:tc>
          <w:tcPr>
            <w:tcW w:w="3744" w:type="dxa"/>
            <w:vAlign w:val="center"/>
          </w:tcPr>
          <w:p w:rsidR="000333F8" w:rsidRPr="00957231" w:rsidRDefault="000333F8" w:rsidP="00957231">
            <w:pPr>
              <w:jc w:val="center"/>
              <w:rPr>
                <w:sz w:val="22"/>
                <w:szCs w:val="22"/>
              </w:rPr>
            </w:pPr>
            <w:r w:rsidRPr="00957231">
              <w:rPr>
                <w:sz w:val="22"/>
                <w:szCs w:val="22"/>
              </w:rPr>
              <w:t>Expectation for satisfactory performance</w:t>
            </w:r>
          </w:p>
        </w:tc>
        <w:tc>
          <w:tcPr>
            <w:tcW w:w="2035" w:type="dxa"/>
            <w:vAlign w:val="center"/>
          </w:tcPr>
          <w:p w:rsidR="000333F8" w:rsidRPr="00957231" w:rsidRDefault="000333F8" w:rsidP="00957231">
            <w:pPr>
              <w:jc w:val="center"/>
              <w:rPr>
                <w:sz w:val="22"/>
                <w:szCs w:val="22"/>
              </w:rPr>
            </w:pPr>
            <w:r w:rsidRPr="00957231">
              <w:rPr>
                <w:sz w:val="22"/>
                <w:szCs w:val="22"/>
              </w:rPr>
              <w:t>Student performance</w:t>
            </w:r>
          </w:p>
        </w:tc>
      </w:tr>
      <w:tr w:rsidR="000333F8" w:rsidRPr="00957231" w:rsidTr="0095723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95723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95723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95723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95723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95723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95723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r w:rsidR="000333F8" w:rsidRPr="00957231" w:rsidTr="00957231">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3744" w:type="dxa"/>
          </w:tcPr>
          <w:p w:rsidR="000333F8" w:rsidRPr="00957231" w:rsidRDefault="000333F8" w:rsidP="00E871D4">
            <w:pPr>
              <w:rPr>
                <w:sz w:val="22"/>
                <w:szCs w:val="22"/>
              </w:rPr>
            </w:pPr>
          </w:p>
        </w:tc>
        <w:tc>
          <w:tcPr>
            <w:tcW w:w="2035" w:type="dxa"/>
          </w:tcPr>
          <w:p w:rsidR="000333F8" w:rsidRPr="00957231" w:rsidRDefault="000333F8" w:rsidP="00E871D4">
            <w:pPr>
              <w:rPr>
                <w:sz w:val="22"/>
                <w:szCs w:val="22"/>
              </w:rPr>
            </w:pPr>
            <w:r w:rsidRPr="00957231">
              <w:rPr>
                <w:sz w:val="22"/>
                <w:szCs w:val="22"/>
              </w:rPr>
              <w:t>____ % exceeded</w:t>
            </w:r>
          </w:p>
          <w:p w:rsidR="000333F8" w:rsidRPr="00957231" w:rsidRDefault="000333F8" w:rsidP="00E871D4">
            <w:pPr>
              <w:rPr>
                <w:sz w:val="22"/>
                <w:szCs w:val="22"/>
              </w:rPr>
            </w:pPr>
            <w:r w:rsidRPr="00957231">
              <w:rPr>
                <w:sz w:val="22"/>
                <w:szCs w:val="22"/>
              </w:rPr>
              <w:t>____ % met</w:t>
            </w:r>
          </w:p>
          <w:p w:rsidR="000333F8" w:rsidRPr="00957231" w:rsidRDefault="000333F8" w:rsidP="00E871D4">
            <w:pPr>
              <w:rPr>
                <w:sz w:val="22"/>
                <w:szCs w:val="22"/>
              </w:rPr>
            </w:pPr>
            <w:r w:rsidRPr="00957231">
              <w:rPr>
                <w:sz w:val="22"/>
                <w:szCs w:val="22"/>
              </w:rPr>
              <w:t>____ % not met</w:t>
            </w:r>
          </w:p>
        </w:tc>
      </w:tr>
    </w:tbl>
    <w:p w:rsidR="000333F8" w:rsidRDefault="000333F8" w:rsidP="000333F8"/>
    <w:p w:rsidR="002439AB" w:rsidRDefault="002439AB" w:rsidP="002439AB">
      <w:pPr>
        <w:rPr>
          <w:i/>
        </w:rPr>
      </w:pPr>
      <w:r w:rsidRPr="00EB543D">
        <w:rPr>
          <w:i/>
        </w:rPr>
        <w:t>(Note:</w:t>
      </w:r>
      <w:r>
        <w:rPr>
          <w:i/>
        </w:rPr>
        <w:t xml:space="preserve"> This data should be informed directly from your assessment plans in Weave.) </w:t>
      </w:r>
    </w:p>
    <w:p w:rsidR="007F48F7" w:rsidRDefault="007F48F7" w:rsidP="000333F8">
      <w:pPr>
        <w:rPr>
          <w:i/>
        </w:rPr>
      </w:pPr>
    </w:p>
    <w:p w:rsidR="003033AA" w:rsidRPr="003033AA" w:rsidRDefault="003033AA" w:rsidP="000333F8"/>
    <w:p w:rsidR="00AB21E0" w:rsidRPr="002439AB" w:rsidRDefault="003033AA" w:rsidP="003033AA">
      <w:pPr>
        <w:jc w:val="center"/>
        <w:rPr>
          <w:i/>
        </w:rPr>
      </w:pPr>
      <w:r>
        <w:br w:type="page"/>
      </w:r>
      <w:r w:rsidR="00AB21E0">
        <w:lastRenderedPageBreak/>
        <w:t xml:space="preserve">Table </w:t>
      </w:r>
      <w:r w:rsidR="009826C1">
        <w:t>7</w:t>
      </w:r>
      <w:r w:rsidR="00AB21E0">
        <w:t xml:space="preserve">.  </w:t>
      </w:r>
      <w:r w:rsidR="00E2757A">
        <w:t>M</w:t>
      </w:r>
      <w:r w:rsidR="00F27EB2">
        <w:t xml:space="preserve">ajor </w:t>
      </w:r>
      <w:r w:rsidR="0080568A">
        <w:t>F</w:t>
      </w:r>
      <w:r w:rsidR="00F27EB2">
        <w:t xml:space="preserve">indings of </w:t>
      </w:r>
      <w:r w:rsidR="0080568A">
        <w:t>t</w:t>
      </w:r>
      <w:r w:rsidR="00F27EB2">
        <w:t xml:space="preserve">his </w:t>
      </w:r>
      <w:r w:rsidR="0080568A">
        <w:t>A</w:t>
      </w:r>
      <w:r w:rsidR="00F27EB2">
        <w:t xml:space="preserve">ssessment and </w:t>
      </w:r>
      <w:r w:rsidR="0080568A">
        <w:t>A</w:t>
      </w:r>
      <w:r w:rsidR="00F27EB2">
        <w:t xml:space="preserve">ctions to be </w:t>
      </w:r>
      <w:r w:rsidR="0080568A">
        <w:t>T</w:t>
      </w:r>
      <w:r w:rsidR="00F27EB2">
        <w:t xml:space="preserve">aken </w:t>
      </w:r>
      <w:r w:rsidR="0080568A">
        <w:t>A</w:t>
      </w:r>
      <w:r w:rsidR="00F27EB2">
        <w:t xml:space="preserve">ddressing these </w:t>
      </w:r>
      <w:r w:rsidR="0080568A">
        <w:t>Findings</w:t>
      </w:r>
      <w:r w:rsidR="002439AB">
        <w:t xml:space="preserve"> </w:t>
      </w:r>
      <w:r w:rsidR="002439AB" w:rsidRPr="002439AB">
        <w:t xml:space="preserve"> </w:t>
      </w:r>
      <w:r w:rsidR="002439AB" w:rsidRPr="002439AB">
        <w:rPr>
          <w:i/>
        </w:rPr>
        <w:t>(Note: These should be included in your action plan in your assessment in Weave.)</w:t>
      </w:r>
    </w:p>
    <w:p w:rsidR="00AB21E0" w:rsidRDefault="00AB21E0" w:rsidP="00AB21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6480"/>
      </w:tblGrid>
      <w:tr w:rsidR="00AB21E0" w:rsidRPr="00957231" w:rsidTr="00957231">
        <w:tc>
          <w:tcPr>
            <w:tcW w:w="6480" w:type="dxa"/>
            <w:vAlign w:val="center"/>
          </w:tcPr>
          <w:p w:rsidR="00AB21E0" w:rsidRPr="00957231" w:rsidRDefault="00AB21E0" w:rsidP="00957231">
            <w:pPr>
              <w:jc w:val="center"/>
              <w:rPr>
                <w:sz w:val="22"/>
                <w:szCs w:val="22"/>
              </w:rPr>
            </w:pPr>
            <w:r w:rsidRPr="00957231">
              <w:rPr>
                <w:sz w:val="22"/>
                <w:szCs w:val="22"/>
              </w:rPr>
              <w:t>Major findings of this assessment</w:t>
            </w:r>
          </w:p>
        </w:tc>
        <w:tc>
          <w:tcPr>
            <w:tcW w:w="6480" w:type="dxa"/>
            <w:vAlign w:val="center"/>
          </w:tcPr>
          <w:p w:rsidR="004F2651" w:rsidRPr="00957231" w:rsidRDefault="00AB21E0" w:rsidP="00957231">
            <w:pPr>
              <w:jc w:val="center"/>
              <w:rPr>
                <w:sz w:val="22"/>
                <w:szCs w:val="22"/>
              </w:rPr>
            </w:pPr>
            <w:r w:rsidRPr="00957231">
              <w:rPr>
                <w:sz w:val="22"/>
                <w:szCs w:val="22"/>
              </w:rPr>
              <w:t>Actions to be taken in addressing these assessment findings</w:t>
            </w:r>
          </w:p>
          <w:p w:rsidR="00AB21E0" w:rsidRPr="00957231" w:rsidRDefault="004F2651" w:rsidP="00957231">
            <w:pPr>
              <w:jc w:val="center"/>
              <w:rPr>
                <w:sz w:val="22"/>
                <w:szCs w:val="22"/>
              </w:rPr>
            </w:pPr>
            <w:r w:rsidRPr="00957231">
              <w:rPr>
                <w:sz w:val="22"/>
                <w:szCs w:val="22"/>
              </w:rPr>
              <w:t xml:space="preserve">(What </w:t>
            </w:r>
            <w:r w:rsidR="00F27EB2" w:rsidRPr="00957231">
              <w:rPr>
                <w:sz w:val="22"/>
                <w:szCs w:val="22"/>
              </w:rPr>
              <w:t>will be done?  W</w:t>
            </w:r>
            <w:r w:rsidRPr="00957231">
              <w:rPr>
                <w:sz w:val="22"/>
                <w:szCs w:val="22"/>
              </w:rPr>
              <w:t xml:space="preserve">hen, where and how </w:t>
            </w:r>
            <w:r w:rsidR="00F27EB2" w:rsidRPr="00957231">
              <w:rPr>
                <w:sz w:val="22"/>
                <w:szCs w:val="22"/>
              </w:rPr>
              <w:t>will you do it?</w:t>
            </w:r>
            <w:r w:rsidR="009826C1" w:rsidRPr="00957231">
              <w:rPr>
                <w:sz w:val="22"/>
                <w:szCs w:val="22"/>
              </w:rPr>
              <w:t>)</w:t>
            </w: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r w:rsidR="00AB21E0" w:rsidRPr="00957231" w:rsidTr="00957231">
        <w:tc>
          <w:tcPr>
            <w:tcW w:w="6480" w:type="dxa"/>
          </w:tcPr>
          <w:p w:rsidR="00AB21E0" w:rsidRPr="00957231" w:rsidRDefault="00AB21E0" w:rsidP="00554541">
            <w:pPr>
              <w:rPr>
                <w:sz w:val="22"/>
                <w:szCs w:val="22"/>
              </w:rPr>
            </w:pPr>
          </w:p>
        </w:tc>
        <w:tc>
          <w:tcPr>
            <w:tcW w:w="6480" w:type="dxa"/>
          </w:tcPr>
          <w:p w:rsidR="00AB21E0" w:rsidRPr="00957231" w:rsidRDefault="00AB21E0" w:rsidP="00554541">
            <w:pPr>
              <w:rPr>
                <w:sz w:val="22"/>
                <w:szCs w:val="22"/>
              </w:rPr>
            </w:pPr>
          </w:p>
        </w:tc>
      </w:tr>
    </w:tbl>
    <w:p w:rsidR="00AB21E0" w:rsidRDefault="00AB21E0" w:rsidP="00AB21E0"/>
    <w:p w:rsidR="00894D4B" w:rsidRDefault="00894D4B" w:rsidP="00894D4B"/>
    <w:p w:rsidR="00AB21E0" w:rsidRDefault="00AB21E0" w:rsidP="00AB21E0">
      <w:pPr>
        <w:ind w:left="576"/>
      </w:pPr>
    </w:p>
    <w:p w:rsidR="00AB21E0" w:rsidRDefault="00AB21E0" w:rsidP="00AB21E0">
      <w:pPr>
        <w:ind w:left="576"/>
        <w:sectPr w:rsidR="00AB21E0" w:rsidSect="000333F8">
          <w:footerReference w:type="even" r:id="rId9"/>
          <w:footerReference w:type="default" r:id="rId10"/>
          <w:pgSz w:w="15840" w:h="12240" w:orient="landscape"/>
          <w:pgMar w:top="1440" w:right="1440" w:bottom="1440" w:left="1440" w:header="720" w:footer="720" w:gutter="0"/>
          <w:cols w:space="720"/>
          <w:docGrid w:linePitch="360"/>
        </w:sectPr>
      </w:pPr>
    </w:p>
    <w:p w:rsidR="00AC0B73" w:rsidRPr="009170F6" w:rsidRDefault="00AC0B73" w:rsidP="009170F6">
      <w:pPr>
        <w:spacing w:after="120"/>
        <w:rPr>
          <w:b/>
          <w:sz w:val="28"/>
          <w:szCs w:val="28"/>
        </w:rPr>
      </w:pPr>
      <w:r w:rsidRPr="009170F6">
        <w:rPr>
          <w:b/>
          <w:sz w:val="28"/>
          <w:szCs w:val="28"/>
        </w:rPr>
        <w:lastRenderedPageBreak/>
        <w:t>III. The Faculty</w:t>
      </w:r>
    </w:p>
    <w:p w:rsidR="009170F6" w:rsidRPr="009170F6" w:rsidRDefault="00BB3C47" w:rsidP="009170F6">
      <w:pPr>
        <w:spacing w:after="120"/>
        <w:ind w:left="576" w:hanging="288"/>
        <w:rPr>
          <w:b/>
          <w:i/>
          <w:sz w:val="28"/>
          <w:szCs w:val="28"/>
        </w:rPr>
      </w:pPr>
      <w:r w:rsidRPr="009170F6">
        <w:rPr>
          <w:b/>
          <w:i/>
          <w:sz w:val="28"/>
          <w:szCs w:val="28"/>
        </w:rPr>
        <w:t>A</w:t>
      </w:r>
      <w:r w:rsidR="00AC0B73" w:rsidRPr="009170F6">
        <w:rPr>
          <w:b/>
          <w:i/>
          <w:sz w:val="28"/>
          <w:szCs w:val="28"/>
        </w:rPr>
        <w:t xml:space="preserve"> </w:t>
      </w:r>
      <w:r w:rsidR="00953A14">
        <w:rPr>
          <w:b/>
          <w:i/>
          <w:sz w:val="28"/>
          <w:szCs w:val="28"/>
        </w:rPr>
        <w:t>Faculty Profile</w:t>
      </w:r>
    </w:p>
    <w:p w:rsidR="008E203E" w:rsidRPr="00A7635C" w:rsidRDefault="008E203E" w:rsidP="000A0841">
      <w:pPr>
        <w:ind w:left="576" w:hanging="288"/>
        <w:jc w:val="center"/>
      </w:pPr>
      <w:r>
        <w:t xml:space="preserve">Table </w:t>
      </w:r>
      <w:r w:rsidR="00B605CE">
        <w:t>8</w:t>
      </w:r>
      <w:r>
        <w:t xml:space="preserve">.  </w:t>
      </w:r>
      <w:r w:rsidR="00953A14">
        <w:t xml:space="preserve">Department of </w:t>
      </w:r>
      <w:r w:rsidR="00953A14" w:rsidRPr="00E871D4">
        <w:rPr>
          <w:highlight w:val="yellow"/>
        </w:rPr>
        <w:t>_________</w:t>
      </w:r>
      <w:r w:rsidR="00953A14">
        <w:t xml:space="preserve"> </w:t>
      </w:r>
      <w:r w:rsidR="0080568A">
        <w:t>C</w:t>
      </w:r>
      <w:r w:rsidR="00CA0D49">
        <w:t xml:space="preserve">urrent </w:t>
      </w:r>
      <w:r w:rsidR="0080568A">
        <w:t>F</w:t>
      </w:r>
      <w:r>
        <w:t xml:space="preserve">aculty </w:t>
      </w:r>
      <w:r w:rsidR="0080568A">
        <w:t>P</w:t>
      </w:r>
      <w:r w:rsidR="00953A14">
        <w:t>rofile</w:t>
      </w:r>
      <w:r w:rsidR="00A7635C">
        <w:t xml:space="preserve">  </w:t>
      </w:r>
      <w:r w:rsidR="00A7635C" w:rsidRPr="00A7635C">
        <w:rPr>
          <w:i/>
          <w:highlight w:val="yellow"/>
        </w:rPr>
        <w:t>[</w:t>
      </w:r>
      <w:r w:rsidR="00A7635C" w:rsidRPr="00A7635C">
        <w:rPr>
          <w:b/>
          <w:i/>
          <w:highlight w:val="yellow"/>
        </w:rPr>
        <w:t>department supplies data</w:t>
      </w:r>
      <w:r w:rsidR="00A7635C" w:rsidRPr="00A7635C">
        <w:rPr>
          <w:i/>
          <w:highlight w:val="yellow"/>
        </w:rPr>
        <w:t>]</w:t>
      </w:r>
      <w:r w:rsidR="00A7635C">
        <w:t xml:space="preserve"> </w:t>
      </w:r>
    </w:p>
    <w:p w:rsidR="0098626F" w:rsidRDefault="0098626F" w:rsidP="0098626F">
      <w:pPr>
        <w:ind w:left="576" w:hanging="288"/>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318"/>
        <w:gridCol w:w="720"/>
        <w:gridCol w:w="723"/>
      </w:tblGrid>
      <w:tr w:rsidR="0098626F" w:rsidTr="00957231">
        <w:tc>
          <w:tcPr>
            <w:tcW w:w="6358" w:type="dxa"/>
            <w:gridSpan w:val="2"/>
            <w:tcBorders>
              <w:top w:val="nil"/>
              <w:left w:val="nil"/>
            </w:tcBorders>
          </w:tcPr>
          <w:p w:rsidR="0098626F" w:rsidRDefault="0098626F" w:rsidP="0098626F"/>
        </w:tc>
        <w:tc>
          <w:tcPr>
            <w:tcW w:w="720" w:type="dxa"/>
          </w:tcPr>
          <w:p w:rsidR="0098626F" w:rsidRDefault="0098626F" w:rsidP="00957231">
            <w:pPr>
              <w:jc w:val="center"/>
            </w:pPr>
            <w:r>
              <w:t>full time</w:t>
            </w:r>
          </w:p>
        </w:tc>
        <w:tc>
          <w:tcPr>
            <w:tcW w:w="720" w:type="dxa"/>
          </w:tcPr>
          <w:p w:rsidR="0098626F" w:rsidRPr="00581730" w:rsidRDefault="0098626F" w:rsidP="00CA0D49">
            <w:pPr>
              <w:jc w:val="center"/>
              <w:rPr>
                <w:vertAlign w:val="superscript"/>
              </w:rPr>
            </w:pPr>
            <w:r>
              <w:t>part time</w:t>
            </w:r>
            <w:r w:rsidR="00581730">
              <w:rPr>
                <w:vertAlign w:val="superscript"/>
              </w:rPr>
              <w:t>1</w:t>
            </w:r>
          </w:p>
        </w:tc>
      </w:tr>
      <w:tr w:rsidR="00CA0D49" w:rsidTr="00424374">
        <w:tc>
          <w:tcPr>
            <w:tcW w:w="6358" w:type="dxa"/>
            <w:gridSpan w:val="2"/>
            <w:vAlign w:val="center"/>
          </w:tcPr>
          <w:p w:rsidR="00CA0D49" w:rsidRPr="00296CA3" w:rsidRDefault="00CA0D49" w:rsidP="0098626F">
            <w:pPr>
              <w:rPr>
                <w:vertAlign w:val="superscript"/>
              </w:rPr>
            </w:pPr>
            <w:r>
              <w:t xml:space="preserve">Total number of </w:t>
            </w:r>
            <w:proofErr w:type="gramStart"/>
            <w:r>
              <w:t>department</w:t>
            </w:r>
            <w:proofErr w:type="gramEnd"/>
            <w:r>
              <w:t xml:space="preserve"> faculty</w:t>
            </w:r>
            <w:r w:rsidR="00296CA3">
              <w:rPr>
                <w:vertAlign w:val="superscript"/>
              </w:rPr>
              <w:t>2</w:t>
            </w:r>
          </w:p>
        </w:tc>
        <w:tc>
          <w:tcPr>
            <w:tcW w:w="720" w:type="dxa"/>
          </w:tcPr>
          <w:p w:rsidR="00CA0D49" w:rsidRDefault="00CA0D49" w:rsidP="0098626F"/>
        </w:tc>
        <w:tc>
          <w:tcPr>
            <w:tcW w:w="720" w:type="dxa"/>
          </w:tcPr>
          <w:p w:rsidR="00CA0D49" w:rsidRDefault="00CA0D49" w:rsidP="0098626F"/>
        </w:tc>
      </w:tr>
      <w:tr w:rsidR="0098626F" w:rsidTr="00957231">
        <w:tc>
          <w:tcPr>
            <w:tcW w:w="5040" w:type="dxa"/>
            <w:vMerge w:val="restart"/>
            <w:vAlign w:val="center"/>
          </w:tcPr>
          <w:p w:rsidR="0098626F" w:rsidRPr="0080506D" w:rsidRDefault="0098626F" w:rsidP="00CA0D49">
            <w:r w:rsidRPr="0080506D">
              <w:t xml:space="preserve">Number of department faculty </w:t>
            </w:r>
            <w:r w:rsidR="00CA0D49">
              <w:t>by gender</w:t>
            </w:r>
          </w:p>
        </w:tc>
        <w:tc>
          <w:tcPr>
            <w:tcW w:w="1318" w:type="dxa"/>
          </w:tcPr>
          <w:p w:rsidR="0098626F" w:rsidRDefault="0098626F" w:rsidP="00CA0D49">
            <w:pPr>
              <w:jc w:val="center"/>
            </w:pPr>
            <w:r>
              <w:t>female</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vAlign w:val="center"/>
          </w:tcPr>
          <w:p w:rsidR="0098626F" w:rsidRPr="0080506D" w:rsidRDefault="0098626F" w:rsidP="0098626F"/>
        </w:tc>
        <w:tc>
          <w:tcPr>
            <w:tcW w:w="1318" w:type="dxa"/>
          </w:tcPr>
          <w:p w:rsidR="0098626F" w:rsidRDefault="0098626F" w:rsidP="00CA0D49">
            <w:pPr>
              <w:jc w:val="center"/>
            </w:pPr>
            <w:r>
              <w:t>male</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val="restart"/>
            <w:vAlign w:val="center"/>
          </w:tcPr>
          <w:p w:rsidR="0098626F" w:rsidRPr="0080506D" w:rsidRDefault="0098626F" w:rsidP="00CA0D49">
            <w:r w:rsidRPr="0080506D">
              <w:t>Highest degree in field for department faculty</w:t>
            </w:r>
          </w:p>
        </w:tc>
        <w:tc>
          <w:tcPr>
            <w:tcW w:w="1318" w:type="dxa"/>
          </w:tcPr>
          <w:p w:rsidR="0098626F" w:rsidRDefault="0098626F" w:rsidP="00CA0D49">
            <w:pPr>
              <w:jc w:val="center"/>
            </w:pPr>
            <w:r>
              <w:t>Bachelor’s</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vAlign w:val="center"/>
          </w:tcPr>
          <w:p w:rsidR="0098626F" w:rsidRPr="0080506D" w:rsidRDefault="0098626F" w:rsidP="0098626F"/>
        </w:tc>
        <w:tc>
          <w:tcPr>
            <w:tcW w:w="1318" w:type="dxa"/>
          </w:tcPr>
          <w:p w:rsidR="0098626F" w:rsidRDefault="0098626F" w:rsidP="00CA0D49">
            <w:pPr>
              <w:jc w:val="center"/>
            </w:pPr>
            <w:r>
              <w:t>Master’s</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vAlign w:val="center"/>
          </w:tcPr>
          <w:p w:rsidR="0098626F" w:rsidRPr="0080506D" w:rsidRDefault="0098626F" w:rsidP="0098626F"/>
        </w:tc>
        <w:tc>
          <w:tcPr>
            <w:tcW w:w="1318" w:type="dxa"/>
          </w:tcPr>
          <w:p w:rsidR="0098626F" w:rsidRDefault="0098626F" w:rsidP="00CA0D49">
            <w:pPr>
              <w:jc w:val="center"/>
            </w:pPr>
            <w:r>
              <w:t>Doctorate</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val="restart"/>
            <w:vAlign w:val="center"/>
          </w:tcPr>
          <w:p w:rsidR="0098626F" w:rsidRPr="0080506D" w:rsidRDefault="0098626F" w:rsidP="00CA0D49">
            <w:r>
              <w:t>Years of e</w:t>
            </w:r>
            <w:r w:rsidRPr="0080506D">
              <w:t xml:space="preserve">xperience in field for department faculty </w:t>
            </w:r>
            <w:r w:rsidR="006F27BA">
              <w:t xml:space="preserve">(includes </w:t>
            </w:r>
            <w:r w:rsidR="00CA0D49">
              <w:t xml:space="preserve">college </w:t>
            </w:r>
            <w:r w:rsidR="006F27BA">
              <w:t>teaching</w:t>
            </w:r>
            <w:r w:rsidR="00CA0D49">
              <w:t xml:space="preserve"> experience</w:t>
            </w:r>
            <w:r w:rsidR="006F27BA">
              <w:t xml:space="preserve"> and other professional experience)</w:t>
            </w:r>
          </w:p>
        </w:tc>
        <w:tc>
          <w:tcPr>
            <w:tcW w:w="1318" w:type="dxa"/>
          </w:tcPr>
          <w:p w:rsidR="0098626F" w:rsidRDefault="0098626F" w:rsidP="00CA0D49">
            <w:pPr>
              <w:jc w:val="center"/>
            </w:pPr>
            <w:r>
              <w:t>0-5</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tcPr>
          <w:p w:rsidR="0098626F" w:rsidRDefault="0098626F" w:rsidP="0098626F"/>
        </w:tc>
        <w:tc>
          <w:tcPr>
            <w:tcW w:w="1318" w:type="dxa"/>
          </w:tcPr>
          <w:p w:rsidR="0098626F" w:rsidRDefault="0098626F" w:rsidP="00CA0D49">
            <w:pPr>
              <w:jc w:val="center"/>
            </w:pPr>
            <w:r>
              <w:t>6-10</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tcPr>
          <w:p w:rsidR="0098626F" w:rsidRDefault="0098626F" w:rsidP="0098626F"/>
        </w:tc>
        <w:tc>
          <w:tcPr>
            <w:tcW w:w="1318" w:type="dxa"/>
          </w:tcPr>
          <w:p w:rsidR="0098626F" w:rsidRDefault="0098626F" w:rsidP="00CA0D49">
            <w:pPr>
              <w:jc w:val="center"/>
            </w:pPr>
            <w:r>
              <w:t>11-15</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tcPr>
          <w:p w:rsidR="0098626F" w:rsidRDefault="0098626F" w:rsidP="0098626F"/>
        </w:tc>
        <w:tc>
          <w:tcPr>
            <w:tcW w:w="1318" w:type="dxa"/>
          </w:tcPr>
          <w:p w:rsidR="0098626F" w:rsidRDefault="0098626F" w:rsidP="00CA0D49">
            <w:pPr>
              <w:jc w:val="center"/>
            </w:pPr>
            <w:r>
              <w:t>16-20</w:t>
            </w:r>
          </w:p>
        </w:tc>
        <w:tc>
          <w:tcPr>
            <w:tcW w:w="720" w:type="dxa"/>
          </w:tcPr>
          <w:p w:rsidR="0098626F" w:rsidRDefault="0098626F" w:rsidP="0098626F"/>
        </w:tc>
        <w:tc>
          <w:tcPr>
            <w:tcW w:w="720" w:type="dxa"/>
          </w:tcPr>
          <w:p w:rsidR="0098626F" w:rsidRDefault="0098626F" w:rsidP="0098626F"/>
        </w:tc>
      </w:tr>
      <w:tr w:rsidR="0098626F" w:rsidTr="00957231">
        <w:tc>
          <w:tcPr>
            <w:tcW w:w="5040" w:type="dxa"/>
            <w:vMerge/>
          </w:tcPr>
          <w:p w:rsidR="0098626F" w:rsidRDefault="0098626F" w:rsidP="0098626F"/>
        </w:tc>
        <w:tc>
          <w:tcPr>
            <w:tcW w:w="1318" w:type="dxa"/>
          </w:tcPr>
          <w:p w:rsidR="0098626F" w:rsidRDefault="0098626F" w:rsidP="00CA0D49">
            <w:pPr>
              <w:jc w:val="center"/>
            </w:pPr>
            <w:r>
              <w:t>2</w:t>
            </w:r>
            <w:r w:rsidR="001073FD">
              <w:t xml:space="preserve">1 </w:t>
            </w:r>
            <w:r>
              <w:t>+</w:t>
            </w:r>
          </w:p>
        </w:tc>
        <w:tc>
          <w:tcPr>
            <w:tcW w:w="720" w:type="dxa"/>
          </w:tcPr>
          <w:p w:rsidR="0098626F" w:rsidRDefault="0098626F" w:rsidP="0098626F"/>
        </w:tc>
        <w:tc>
          <w:tcPr>
            <w:tcW w:w="720" w:type="dxa"/>
          </w:tcPr>
          <w:p w:rsidR="0098626F" w:rsidRDefault="0098626F" w:rsidP="0098626F"/>
        </w:tc>
      </w:tr>
    </w:tbl>
    <w:p w:rsidR="000A0841" w:rsidRPr="007C7319" w:rsidRDefault="00296CA3" w:rsidP="007C7319">
      <w:pPr>
        <w:ind w:left="864" w:right="720" w:hanging="288"/>
        <w:rPr>
          <w:sz w:val="20"/>
          <w:szCs w:val="20"/>
        </w:rPr>
      </w:pPr>
      <w:r w:rsidRPr="00296CA3">
        <w:rPr>
          <w:sz w:val="20"/>
          <w:szCs w:val="20"/>
          <w:vertAlign w:val="superscript"/>
        </w:rPr>
        <w:t>2</w:t>
      </w:r>
      <w:r w:rsidR="00581730" w:rsidRPr="007C7319">
        <w:rPr>
          <w:sz w:val="20"/>
          <w:szCs w:val="20"/>
        </w:rPr>
        <w:t xml:space="preserve"> Part-time is </w:t>
      </w:r>
      <w:r w:rsidR="00225259">
        <w:rPr>
          <w:sz w:val="20"/>
          <w:szCs w:val="20"/>
        </w:rPr>
        <w:t>defined as</w:t>
      </w:r>
      <w:r w:rsidR="00581730" w:rsidRPr="007C7319">
        <w:rPr>
          <w:sz w:val="20"/>
          <w:szCs w:val="20"/>
        </w:rPr>
        <w:t xml:space="preserve"> 11 or fewer contact hours with no additional duties</w:t>
      </w:r>
      <w:r w:rsidR="007C7319" w:rsidRPr="007C7319">
        <w:rPr>
          <w:sz w:val="20"/>
          <w:szCs w:val="20"/>
        </w:rPr>
        <w:t xml:space="preserve"> compensated by release time.</w:t>
      </w:r>
      <w:r w:rsidR="00581730" w:rsidRPr="007C7319">
        <w:rPr>
          <w:sz w:val="20"/>
          <w:szCs w:val="20"/>
        </w:rPr>
        <w:t xml:space="preserve"> </w:t>
      </w:r>
    </w:p>
    <w:p w:rsidR="006F27BA" w:rsidRDefault="006F27BA" w:rsidP="008E203E">
      <w:pPr>
        <w:ind w:left="576"/>
      </w:pPr>
    </w:p>
    <w:p w:rsidR="00AC0B73" w:rsidRPr="009170F6" w:rsidRDefault="00BB3C47" w:rsidP="00953A14">
      <w:pPr>
        <w:spacing w:after="120"/>
        <w:ind w:left="576" w:hanging="288"/>
        <w:rPr>
          <w:b/>
          <w:i/>
          <w:sz w:val="28"/>
          <w:szCs w:val="28"/>
        </w:rPr>
      </w:pPr>
      <w:r w:rsidRPr="009170F6">
        <w:rPr>
          <w:b/>
          <w:i/>
          <w:sz w:val="28"/>
          <w:szCs w:val="28"/>
        </w:rPr>
        <w:t>B</w:t>
      </w:r>
      <w:r w:rsidR="00AC0B73" w:rsidRPr="009170F6">
        <w:rPr>
          <w:b/>
          <w:i/>
          <w:sz w:val="28"/>
          <w:szCs w:val="28"/>
        </w:rPr>
        <w:t xml:space="preserve">. </w:t>
      </w:r>
      <w:r w:rsidR="00953A14">
        <w:rPr>
          <w:b/>
          <w:i/>
          <w:sz w:val="28"/>
          <w:szCs w:val="28"/>
        </w:rPr>
        <w:t xml:space="preserve">Faculty </w:t>
      </w:r>
      <w:r w:rsidR="00B605CE">
        <w:rPr>
          <w:b/>
          <w:i/>
          <w:sz w:val="28"/>
          <w:szCs w:val="28"/>
        </w:rPr>
        <w:t>T</w:t>
      </w:r>
      <w:r w:rsidR="00953A14">
        <w:rPr>
          <w:b/>
          <w:i/>
          <w:sz w:val="28"/>
          <w:szCs w:val="28"/>
        </w:rPr>
        <w:t>eaching and Advising Loads</w:t>
      </w:r>
    </w:p>
    <w:p w:rsidR="00750A6C" w:rsidRDefault="000118FA" w:rsidP="00750A6C">
      <w:pPr>
        <w:ind w:left="576"/>
      </w:pPr>
      <w:r w:rsidRPr="00953A14">
        <w:rPr>
          <w:i/>
          <w:highlight w:val="yellow"/>
        </w:rPr>
        <w:t>Summary</w:t>
      </w:r>
      <w:r w:rsidR="00750A6C" w:rsidRPr="00953A14">
        <w:rPr>
          <w:i/>
          <w:highlight w:val="yellow"/>
        </w:rPr>
        <w:t xml:space="preserve"> statements accompanied by data in the following two tables</w:t>
      </w:r>
    </w:p>
    <w:p w:rsidR="00E871D4" w:rsidRDefault="00E871D4" w:rsidP="00750A6C">
      <w:pPr>
        <w:ind w:left="576"/>
      </w:pPr>
    </w:p>
    <w:p w:rsidR="00E871D4" w:rsidRDefault="00E871D4" w:rsidP="00750A6C">
      <w:pPr>
        <w:ind w:left="576"/>
      </w:pPr>
    </w:p>
    <w:p w:rsidR="00157F35" w:rsidRPr="00071771" w:rsidRDefault="00157F35" w:rsidP="00157F35">
      <w:pPr>
        <w:jc w:val="center"/>
        <w:rPr>
          <w:i/>
          <w:sz w:val="20"/>
          <w:szCs w:val="20"/>
        </w:rPr>
      </w:pPr>
      <w:r w:rsidRPr="00157F35">
        <w:t xml:space="preserve">Table </w:t>
      </w:r>
      <w:r w:rsidR="00B605CE">
        <w:t>9</w:t>
      </w:r>
      <w:r w:rsidRPr="00157F35">
        <w:t xml:space="preserve">. Department of </w:t>
      </w:r>
      <w:r w:rsidRPr="00E871D4">
        <w:rPr>
          <w:highlight w:val="yellow"/>
        </w:rPr>
        <w:t>___________</w:t>
      </w:r>
      <w:r w:rsidR="00E871D4">
        <w:t xml:space="preserve"> </w:t>
      </w:r>
      <w:r w:rsidR="00D47C52">
        <w:t>T</w:t>
      </w:r>
      <w:r w:rsidRPr="00157F35">
        <w:t xml:space="preserve">eaching </w:t>
      </w:r>
      <w:r w:rsidR="00D47C52">
        <w:t>L</w:t>
      </w:r>
      <w:r w:rsidRPr="00157F35">
        <w:t xml:space="preserve">oad </w:t>
      </w:r>
      <w:r w:rsidR="00D47C52">
        <w:t>S</w:t>
      </w:r>
      <w:r w:rsidRPr="00157F35">
        <w:t>ummary</w:t>
      </w:r>
      <w:r w:rsidR="00A7635C">
        <w:t xml:space="preserve">  </w:t>
      </w:r>
      <w:r w:rsidR="00A7635C" w:rsidRPr="00A7635C">
        <w:rPr>
          <w:i/>
          <w:highlight w:val="yellow"/>
        </w:rPr>
        <w:t>[</w:t>
      </w:r>
      <w:r w:rsidR="00111618" w:rsidRPr="00111618">
        <w:rPr>
          <w:b/>
          <w:i/>
          <w:highlight w:val="yellow"/>
        </w:rPr>
        <w:t>D</w:t>
      </w:r>
      <w:r w:rsidR="005E1C6F" w:rsidRPr="00111618">
        <w:rPr>
          <w:b/>
          <w:i/>
          <w:highlight w:val="yellow"/>
        </w:rPr>
        <w:t>e</w:t>
      </w:r>
      <w:r w:rsidR="005E1C6F">
        <w:rPr>
          <w:b/>
          <w:i/>
          <w:highlight w:val="yellow"/>
        </w:rPr>
        <w:t>partments supply data</w:t>
      </w:r>
      <w:r w:rsidR="00A7635C" w:rsidRPr="00A7635C">
        <w:rPr>
          <w:i/>
          <w:highlight w:val="yellow"/>
        </w:rPr>
        <w:t>]</w:t>
      </w:r>
      <w:r w:rsidR="00A7635C">
        <w:t xml:space="preserve"> </w:t>
      </w:r>
      <w:r w:rsidR="00071771" w:rsidRPr="00071771">
        <w:rPr>
          <w:i/>
          <w:sz w:val="20"/>
          <w:szCs w:val="20"/>
        </w:rPr>
        <w:t xml:space="preserve">Note: As many departments were newly defined as Fall 2024, data for this table will commence as of this date. </w:t>
      </w:r>
    </w:p>
    <w:p w:rsidR="00157F35" w:rsidRDefault="00157F35" w:rsidP="00AB0DE8">
      <w:pPr>
        <w:ind w:left="576"/>
      </w:pPr>
    </w:p>
    <w:tbl>
      <w:tblPr>
        <w:tblW w:w="7888"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496"/>
        <w:gridCol w:w="496"/>
        <w:gridCol w:w="496"/>
        <w:gridCol w:w="496"/>
        <w:gridCol w:w="496"/>
        <w:gridCol w:w="496"/>
        <w:gridCol w:w="496"/>
        <w:gridCol w:w="496"/>
        <w:gridCol w:w="496"/>
      </w:tblGrid>
      <w:tr w:rsidR="00293503" w:rsidRPr="00157F35" w:rsidTr="00874F62">
        <w:trPr>
          <w:trHeight w:val="1152"/>
        </w:trPr>
        <w:tc>
          <w:tcPr>
            <w:tcW w:w="3424" w:type="dxa"/>
            <w:tcBorders>
              <w:top w:val="nil"/>
              <w:left w:val="nil"/>
            </w:tcBorders>
            <w:shd w:val="clear" w:color="auto" w:fill="auto"/>
            <w:noWrap/>
            <w:vAlign w:val="bottom"/>
          </w:tcPr>
          <w:p w:rsidR="00293503" w:rsidRPr="00157F35" w:rsidRDefault="00293503" w:rsidP="00293503">
            <w:pPr>
              <w:rPr>
                <w:bCs/>
                <w:color w:val="000000"/>
                <w:sz w:val="22"/>
                <w:szCs w:val="22"/>
              </w:rPr>
            </w:pPr>
          </w:p>
        </w:tc>
        <w:tc>
          <w:tcPr>
            <w:tcW w:w="496" w:type="dxa"/>
            <w:shd w:val="clear" w:color="auto" w:fill="auto"/>
            <w:noWrap/>
            <w:textDirection w:val="btLr"/>
            <w:vAlign w:val="center"/>
          </w:tcPr>
          <w:p w:rsidR="00293503" w:rsidRPr="00157F35" w:rsidRDefault="00293503" w:rsidP="00293503">
            <w:pPr>
              <w:jc w:val="center"/>
              <w:rPr>
                <w:bCs/>
                <w:color w:val="000000"/>
                <w:sz w:val="22"/>
                <w:szCs w:val="22"/>
              </w:rPr>
            </w:pPr>
            <w:r w:rsidRPr="00157F35">
              <w:rPr>
                <w:bCs/>
                <w:color w:val="000000"/>
                <w:sz w:val="22"/>
                <w:szCs w:val="22"/>
              </w:rPr>
              <w:t xml:space="preserve">Fall </w:t>
            </w:r>
            <w:r w:rsidR="00071771">
              <w:rPr>
                <w:bCs/>
                <w:color w:val="000000"/>
                <w:sz w:val="22"/>
                <w:szCs w:val="22"/>
              </w:rPr>
              <w:t>2024</w:t>
            </w:r>
          </w:p>
        </w:tc>
        <w:tc>
          <w:tcPr>
            <w:tcW w:w="496" w:type="dxa"/>
            <w:shd w:val="clear" w:color="auto" w:fill="auto"/>
            <w:noWrap/>
            <w:textDirection w:val="btLr"/>
            <w:vAlign w:val="center"/>
          </w:tcPr>
          <w:p w:rsidR="00293503" w:rsidRPr="00157F35" w:rsidRDefault="00293503" w:rsidP="00293503">
            <w:pPr>
              <w:jc w:val="center"/>
              <w:rPr>
                <w:bCs/>
                <w:color w:val="000000"/>
                <w:sz w:val="22"/>
                <w:szCs w:val="22"/>
              </w:rPr>
            </w:pPr>
            <w:r w:rsidRPr="00157F35">
              <w:rPr>
                <w:bCs/>
                <w:color w:val="000000"/>
                <w:sz w:val="22"/>
                <w:szCs w:val="22"/>
              </w:rPr>
              <w:t xml:space="preserve">Spring </w:t>
            </w:r>
            <w:r w:rsidR="00071771">
              <w:rPr>
                <w:bCs/>
                <w:color w:val="000000"/>
                <w:sz w:val="22"/>
                <w:szCs w:val="22"/>
              </w:rPr>
              <w:t>2025</w:t>
            </w:r>
          </w:p>
        </w:tc>
        <w:tc>
          <w:tcPr>
            <w:tcW w:w="496" w:type="dxa"/>
            <w:shd w:val="clear" w:color="auto" w:fill="auto"/>
            <w:noWrap/>
            <w:textDirection w:val="btLr"/>
            <w:vAlign w:val="center"/>
          </w:tcPr>
          <w:p w:rsidR="00293503" w:rsidRPr="00157F35" w:rsidRDefault="00071771" w:rsidP="00293503">
            <w:pPr>
              <w:jc w:val="center"/>
              <w:rPr>
                <w:bCs/>
                <w:color w:val="000000"/>
                <w:sz w:val="22"/>
                <w:szCs w:val="22"/>
              </w:rPr>
            </w:pPr>
            <w:r>
              <w:rPr>
                <w:bCs/>
                <w:color w:val="000000"/>
                <w:sz w:val="22"/>
                <w:szCs w:val="22"/>
              </w:rPr>
              <w:t>Fall 2025</w:t>
            </w:r>
          </w:p>
        </w:tc>
        <w:tc>
          <w:tcPr>
            <w:tcW w:w="496" w:type="dxa"/>
            <w:shd w:val="clear" w:color="auto" w:fill="auto"/>
            <w:noWrap/>
            <w:textDirection w:val="btLr"/>
            <w:vAlign w:val="center"/>
          </w:tcPr>
          <w:p w:rsidR="00293503" w:rsidRPr="00157F35" w:rsidRDefault="00071771" w:rsidP="00293503">
            <w:pPr>
              <w:jc w:val="center"/>
              <w:rPr>
                <w:bCs/>
                <w:color w:val="000000"/>
                <w:sz w:val="22"/>
                <w:szCs w:val="22"/>
              </w:rPr>
            </w:pPr>
            <w:r>
              <w:rPr>
                <w:bCs/>
                <w:color w:val="000000"/>
                <w:sz w:val="22"/>
                <w:szCs w:val="22"/>
              </w:rPr>
              <w:t>Spring 2026</w:t>
            </w:r>
          </w:p>
        </w:tc>
        <w:tc>
          <w:tcPr>
            <w:tcW w:w="496" w:type="dxa"/>
            <w:shd w:val="clear" w:color="auto" w:fill="auto"/>
            <w:noWrap/>
            <w:textDirection w:val="btLr"/>
            <w:vAlign w:val="center"/>
          </w:tcPr>
          <w:p w:rsidR="00293503" w:rsidRPr="00157F35" w:rsidRDefault="00071771" w:rsidP="00293503">
            <w:pPr>
              <w:jc w:val="center"/>
              <w:rPr>
                <w:bCs/>
                <w:color w:val="000000"/>
                <w:sz w:val="22"/>
                <w:szCs w:val="22"/>
              </w:rPr>
            </w:pPr>
            <w:r>
              <w:rPr>
                <w:bCs/>
                <w:color w:val="000000"/>
                <w:sz w:val="22"/>
                <w:szCs w:val="22"/>
              </w:rPr>
              <w:t>Fall 2026</w:t>
            </w:r>
          </w:p>
        </w:tc>
        <w:tc>
          <w:tcPr>
            <w:tcW w:w="496" w:type="dxa"/>
            <w:shd w:val="clear" w:color="auto" w:fill="auto"/>
            <w:noWrap/>
            <w:textDirection w:val="btLr"/>
            <w:vAlign w:val="center"/>
          </w:tcPr>
          <w:p w:rsidR="00293503" w:rsidRPr="00157F35" w:rsidRDefault="00071771" w:rsidP="00293503">
            <w:pPr>
              <w:jc w:val="center"/>
              <w:rPr>
                <w:bCs/>
                <w:color w:val="000000"/>
                <w:sz w:val="22"/>
                <w:szCs w:val="22"/>
              </w:rPr>
            </w:pPr>
            <w:r>
              <w:rPr>
                <w:bCs/>
                <w:color w:val="000000"/>
                <w:sz w:val="22"/>
                <w:szCs w:val="22"/>
              </w:rPr>
              <w:t>Spring 2027</w:t>
            </w:r>
          </w:p>
        </w:tc>
        <w:tc>
          <w:tcPr>
            <w:tcW w:w="496" w:type="dxa"/>
            <w:shd w:val="clear" w:color="auto" w:fill="auto"/>
            <w:noWrap/>
            <w:textDirection w:val="btLr"/>
            <w:vAlign w:val="center"/>
          </w:tcPr>
          <w:p w:rsidR="00293503" w:rsidRPr="00157F35" w:rsidRDefault="00071771" w:rsidP="00293503">
            <w:pPr>
              <w:jc w:val="center"/>
              <w:rPr>
                <w:bCs/>
                <w:color w:val="000000"/>
                <w:sz w:val="22"/>
                <w:szCs w:val="22"/>
              </w:rPr>
            </w:pPr>
            <w:r>
              <w:rPr>
                <w:bCs/>
                <w:color w:val="000000"/>
                <w:sz w:val="22"/>
                <w:szCs w:val="22"/>
              </w:rPr>
              <w:t>Fall 2027</w:t>
            </w:r>
          </w:p>
        </w:tc>
        <w:tc>
          <w:tcPr>
            <w:tcW w:w="496" w:type="dxa"/>
            <w:shd w:val="clear" w:color="auto" w:fill="auto"/>
            <w:noWrap/>
            <w:textDirection w:val="btLr"/>
            <w:vAlign w:val="center"/>
          </w:tcPr>
          <w:p w:rsidR="00293503" w:rsidRPr="00157F35" w:rsidRDefault="00071771" w:rsidP="00293503">
            <w:pPr>
              <w:jc w:val="center"/>
              <w:rPr>
                <w:bCs/>
                <w:color w:val="000000"/>
                <w:sz w:val="22"/>
                <w:szCs w:val="22"/>
              </w:rPr>
            </w:pPr>
            <w:r>
              <w:rPr>
                <w:bCs/>
                <w:color w:val="000000"/>
                <w:sz w:val="22"/>
                <w:szCs w:val="22"/>
              </w:rPr>
              <w:t>Spring 2028</w:t>
            </w:r>
          </w:p>
        </w:tc>
        <w:tc>
          <w:tcPr>
            <w:tcW w:w="496" w:type="dxa"/>
            <w:textDirection w:val="btLr"/>
            <w:vAlign w:val="center"/>
          </w:tcPr>
          <w:p w:rsidR="00293503" w:rsidRPr="00157F35" w:rsidRDefault="00071771" w:rsidP="00293503">
            <w:pPr>
              <w:jc w:val="center"/>
              <w:rPr>
                <w:bCs/>
                <w:color w:val="000000"/>
                <w:sz w:val="22"/>
                <w:szCs w:val="22"/>
              </w:rPr>
            </w:pPr>
            <w:r>
              <w:rPr>
                <w:bCs/>
                <w:color w:val="000000"/>
                <w:sz w:val="22"/>
                <w:szCs w:val="22"/>
              </w:rPr>
              <w:t>Fall 2028</w:t>
            </w:r>
          </w:p>
        </w:tc>
      </w:tr>
      <w:tr w:rsidR="00293503" w:rsidTr="00E8750D">
        <w:trPr>
          <w:trHeight w:val="330"/>
        </w:trPr>
        <w:tc>
          <w:tcPr>
            <w:tcW w:w="3424" w:type="dxa"/>
            <w:shd w:val="clear" w:color="auto" w:fill="auto"/>
            <w:noWrap/>
            <w:vAlign w:val="bottom"/>
          </w:tcPr>
          <w:p w:rsidR="00293503" w:rsidRPr="00B605CE" w:rsidRDefault="00293503" w:rsidP="00293503">
            <w:pPr>
              <w:rPr>
                <w:bCs/>
                <w:color w:val="000000"/>
                <w:sz w:val="22"/>
                <w:szCs w:val="22"/>
                <w:vertAlign w:val="superscript"/>
              </w:rPr>
            </w:pPr>
            <w:r w:rsidRPr="00157F35">
              <w:rPr>
                <w:bCs/>
                <w:color w:val="000000"/>
                <w:sz w:val="22"/>
                <w:szCs w:val="22"/>
              </w:rPr>
              <w:t># students enrolled in lectures</w:t>
            </w:r>
            <w:r>
              <w:rPr>
                <w:bCs/>
                <w:color w:val="000000"/>
                <w:sz w:val="22"/>
                <w:szCs w:val="22"/>
                <w:vertAlign w:val="superscript"/>
              </w:rPr>
              <w:t xml:space="preserve"> 3</w:t>
            </w: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tcPr>
          <w:p w:rsidR="00293503" w:rsidRPr="00157F35" w:rsidRDefault="00293503" w:rsidP="00293503">
            <w:pPr>
              <w:jc w:val="center"/>
              <w:rPr>
                <w:color w:val="000000"/>
                <w:sz w:val="22"/>
                <w:szCs w:val="22"/>
              </w:rPr>
            </w:pPr>
          </w:p>
        </w:tc>
      </w:tr>
      <w:tr w:rsidR="00293503" w:rsidTr="00E8750D">
        <w:trPr>
          <w:trHeight w:val="330"/>
        </w:trPr>
        <w:tc>
          <w:tcPr>
            <w:tcW w:w="3424" w:type="dxa"/>
            <w:shd w:val="clear" w:color="auto" w:fill="auto"/>
            <w:noWrap/>
            <w:vAlign w:val="bottom"/>
          </w:tcPr>
          <w:p w:rsidR="00293503" w:rsidRPr="00157F35" w:rsidRDefault="00293503" w:rsidP="00293503">
            <w:pPr>
              <w:rPr>
                <w:bCs/>
                <w:color w:val="000000"/>
                <w:sz w:val="22"/>
                <w:szCs w:val="22"/>
              </w:rPr>
            </w:pPr>
            <w:r w:rsidRPr="00157F35">
              <w:rPr>
                <w:bCs/>
                <w:color w:val="000000"/>
                <w:sz w:val="22"/>
                <w:szCs w:val="22"/>
              </w:rPr>
              <w:t># lecture sections offered</w:t>
            </w: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tcPr>
          <w:p w:rsidR="00293503" w:rsidRPr="00157F35" w:rsidRDefault="00293503" w:rsidP="00293503">
            <w:pPr>
              <w:jc w:val="center"/>
              <w:rPr>
                <w:color w:val="000000"/>
                <w:sz w:val="22"/>
                <w:szCs w:val="22"/>
              </w:rPr>
            </w:pPr>
          </w:p>
        </w:tc>
      </w:tr>
      <w:tr w:rsidR="00293503" w:rsidTr="00E8750D">
        <w:trPr>
          <w:trHeight w:val="330"/>
        </w:trPr>
        <w:tc>
          <w:tcPr>
            <w:tcW w:w="3424" w:type="dxa"/>
            <w:shd w:val="clear" w:color="auto" w:fill="auto"/>
            <w:noWrap/>
            <w:vAlign w:val="bottom"/>
          </w:tcPr>
          <w:p w:rsidR="00293503" w:rsidRPr="00157F35" w:rsidRDefault="00293503" w:rsidP="00293503">
            <w:pPr>
              <w:rPr>
                <w:bCs/>
                <w:color w:val="000000"/>
                <w:sz w:val="22"/>
                <w:szCs w:val="22"/>
              </w:rPr>
            </w:pPr>
            <w:r w:rsidRPr="00157F35">
              <w:rPr>
                <w:bCs/>
                <w:color w:val="000000"/>
                <w:sz w:val="22"/>
                <w:szCs w:val="22"/>
              </w:rPr>
              <w:t># lab sections offered</w:t>
            </w: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tcPr>
          <w:p w:rsidR="00293503" w:rsidRPr="00157F35" w:rsidRDefault="00293503" w:rsidP="00293503">
            <w:pPr>
              <w:jc w:val="center"/>
              <w:rPr>
                <w:color w:val="000000"/>
                <w:sz w:val="22"/>
                <w:szCs w:val="22"/>
              </w:rPr>
            </w:pPr>
          </w:p>
        </w:tc>
      </w:tr>
      <w:tr w:rsidR="00293503" w:rsidTr="00E8750D">
        <w:trPr>
          <w:trHeight w:val="330"/>
        </w:trPr>
        <w:tc>
          <w:tcPr>
            <w:tcW w:w="3424" w:type="dxa"/>
            <w:shd w:val="clear" w:color="auto" w:fill="auto"/>
            <w:noWrap/>
            <w:vAlign w:val="bottom"/>
          </w:tcPr>
          <w:p w:rsidR="00293503" w:rsidRPr="00157F35" w:rsidRDefault="00293503" w:rsidP="00293503">
            <w:pPr>
              <w:rPr>
                <w:bCs/>
                <w:color w:val="000000"/>
                <w:sz w:val="22"/>
                <w:szCs w:val="22"/>
              </w:rPr>
            </w:pPr>
            <w:r w:rsidRPr="00157F35">
              <w:rPr>
                <w:bCs/>
                <w:color w:val="000000"/>
                <w:sz w:val="22"/>
                <w:szCs w:val="22"/>
              </w:rPr>
              <w:t># classes total</w:t>
            </w: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tcPr>
          <w:p w:rsidR="00293503" w:rsidRPr="00157F35" w:rsidRDefault="00293503" w:rsidP="00293503">
            <w:pPr>
              <w:jc w:val="center"/>
              <w:rPr>
                <w:color w:val="000000"/>
                <w:sz w:val="22"/>
                <w:szCs w:val="22"/>
              </w:rPr>
            </w:pPr>
          </w:p>
        </w:tc>
      </w:tr>
      <w:tr w:rsidR="00293503" w:rsidTr="00E8750D">
        <w:trPr>
          <w:trHeight w:val="330"/>
        </w:trPr>
        <w:tc>
          <w:tcPr>
            <w:tcW w:w="3424" w:type="dxa"/>
            <w:shd w:val="clear" w:color="auto" w:fill="auto"/>
            <w:noWrap/>
            <w:vAlign w:val="bottom"/>
          </w:tcPr>
          <w:p w:rsidR="00293503" w:rsidRPr="00157F35" w:rsidRDefault="00293503" w:rsidP="00293503">
            <w:pPr>
              <w:rPr>
                <w:bCs/>
                <w:color w:val="000000"/>
                <w:sz w:val="22"/>
                <w:szCs w:val="22"/>
              </w:rPr>
            </w:pPr>
            <w:r w:rsidRPr="00157F35">
              <w:rPr>
                <w:bCs/>
                <w:color w:val="000000"/>
                <w:sz w:val="22"/>
                <w:szCs w:val="22"/>
              </w:rPr>
              <w:t># FT faculty</w:t>
            </w: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tcPr>
          <w:p w:rsidR="00293503" w:rsidRPr="00157F35" w:rsidRDefault="00293503" w:rsidP="00293503">
            <w:pPr>
              <w:jc w:val="center"/>
              <w:rPr>
                <w:color w:val="000000"/>
                <w:sz w:val="22"/>
                <w:szCs w:val="22"/>
              </w:rPr>
            </w:pPr>
          </w:p>
        </w:tc>
      </w:tr>
      <w:tr w:rsidR="00293503" w:rsidTr="00E8750D">
        <w:trPr>
          <w:trHeight w:val="330"/>
        </w:trPr>
        <w:tc>
          <w:tcPr>
            <w:tcW w:w="3424" w:type="dxa"/>
            <w:shd w:val="clear" w:color="auto" w:fill="auto"/>
            <w:noWrap/>
            <w:vAlign w:val="bottom"/>
          </w:tcPr>
          <w:p w:rsidR="00293503" w:rsidRPr="00157F35" w:rsidRDefault="00293503" w:rsidP="00293503">
            <w:pPr>
              <w:rPr>
                <w:bCs/>
                <w:color w:val="000000"/>
                <w:sz w:val="22"/>
                <w:szCs w:val="22"/>
              </w:rPr>
            </w:pPr>
            <w:r w:rsidRPr="00157F35">
              <w:rPr>
                <w:bCs/>
                <w:color w:val="000000"/>
                <w:sz w:val="22"/>
                <w:szCs w:val="22"/>
              </w:rPr>
              <w:t># PT</w:t>
            </w:r>
            <w:r>
              <w:rPr>
                <w:bCs/>
                <w:color w:val="000000"/>
                <w:sz w:val="22"/>
                <w:szCs w:val="22"/>
                <w:vertAlign w:val="superscript"/>
              </w:rPr>
              <w:t xml:space="preserve">. </w:t>
            </w:r>
            <w:r w:rsidRPr="00157F35">
              <w:rPr>
                <w:bCs/>
                <w:color w:val="000000"/>
                <w:sz w:val="22"/>
                <w:szCs w:val="22"/>
              </w:rPr>
              <w:t>faculty</w:t>
            </w: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tcPr>
          <w:p w:rsidR="00293503" w:rsidRPr="00157F35" w:rsidRDefault="00293503" w:rsidP="00293503">
            <w:pPr>
              <w:jc w:val="center"/>
              <w:rPr>
                <w:color w:val="000000"/>
                <w:sz w:val="22"/>
                <w:szCs w:val="22"/>
              </w:rPr>
            </w:pPr>
          </w:p>
        </w:tc>
      </w:tr>
      <w:tr w:rsidR="00293503" w:rsidTr="00E8750D">
        <w:trPr>
          <w:trHeight w:val="330"/>
        </w:trPr>
        <w:tc>
          <w:tcPr>
            <w:tcW w:w="3424" w:type="dxa"/>
            <w:shd w:val="clear" w:color="auto" w:fill="auto"/>
            <w:noWrap/>
            <w:vAlign w:val="bottom"/>
          </w:tcPr>
          <w:p w:rsidR="00293503" w:rsidRPr="00551D7C" w:rsidRDefault="00293503" w:rsidP="00293503">
            <w:pPr>
              <w:rPr>
                <w:bCs/>
                <w:color w:val="000000"/>
                <w:sz w:val="22"/>
                <w:szCs w:val="22"/>
                <w:vertAlign w:val="superscript"/>
              </w:rPr>
            </w:pPr>
            <w:r>
              <w:rPr>
                <w:bCs/>
                <w:color w:val="000000"/>
                <w:sz w:val="22"/>
                <w:szCs w:val="22"/>
              </w:rPr>
              <w:t># contact hrs taught by FT faculty</w:t>
            </w:r>
            <w:r>
              <w:rPr>
                <w:bCs/>
                <w:color w:val="000000"/>
                <w:sz w:val="22"/>
                <w:szCs w:val="22"/>
                <w:vertAlign w:val="superscript"/>
              </w:rPr>
              <w:t xml:space="preserve"> 4</w:t>
            </w: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tcPr>
          <w:p w:rsidR="00293503" w:rsidRPr="00157F35" w:rsidRDefault="00293503" w:rsidP="00293503">
            <w:pPr>
              <w:jc w:val="center"/>
              <w:rPr>
                <w:color w:val="000000"/>
                <w:sz w:val="22"/>
                <w:szCs w:val="22"/>
              </w:rPr>
            </w:pPr>
          </w:p>
        </w:tc>
      </w:tr>
      <w:tr w:rsidR="00293503" w:rsidTr="00E8750D">
        <w:trPr>
          <w:trHeight w:val="330"/>
        </w:trPr>
        <w:tc>
          <w:tcPr>
            <w:tcW w:w="3424" w:type="dxa"/>
            <w:shd w:val="clear" w:color="auto" w:fill="auto"/>
            <w:noWrap/>
            <w:vAlign w:val="bottom"/>
          </w:tcPr>
          <w:p w:rsidR="00293503" w:rsidRPr="00551D7C" w:rsidRDefault="00293503" w:rsidP="00293503">
            <w:pPr>
              <w:rPr>
                <w:bCs/>
                <w:color w:val="000000"/>
                <w:sz w:val="22"/>
                <w:szCs w:val="22"/>
                <w:vertAlign w:val="superscript"/>
              </w:rPr>
            </w:pPr>
            <w:r>
              <w:rPr>
                <w:bCs/>
                <w:color w:val="000000"/>
                <w:sz w:val="22"/>
                <w:szCs w:val="22"/>
              </w:rPr>
              <w:t># contact hrs taught by PT faculty</w:t>
            </w:r>
            <w:r>
              <w:rPr>
                <w:bCs/>
                <w:color w:val="000000"/>
                <w:sz w:val="22"/>
                <w:szCs w:val="22"/>
                <w:vertAlign w:val="superscript"/>
              </w:rPr>
              <w:t xml:space="preserve"> </w:t>
            </w: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tcPr>
          <w:p w:rsidR="00293503" w:rsidRPr="00157F35" w:rsidRDefault="00293503" w:rsidP="00293503">
            <w:pPr>
              <w:jc w:val="center"/>
              <w:rPr>
                <w:color w:val="000000"/>
                <w:sz w:val="22"/>
                <w:szCs w:val="22"/>
              </w:rPr>
            </w:pPr>
          </w:p>
        </w:tc>
      </w:tr>
      <w:tr w:rsidR="00293503" w:rsidTr="00E8750D">
        <w:trPr>
          <w:trHeight w:val="330"/>
        </w:trPr>
        <w:tc>
          <w:tcPr>
            <w:tcW w:w="3424" w:type="dxa"/>
            <w:shd w:val="clear" w:color="auto" w:fill="auto"/>
            <w:noWrap/>
            <w:vAlign w:val="bottom"/>
          </w:tcPr>
          <w:p w:rsidR="00293503" w:rsidRPr="00287D13" w:rsidRDefault="00293503" w:rsidP="00293503">
            <w:pPr>
              <w:rPr>
                <w:bCs/>
                <w:color w:val="000000"/>
                <w:sz w:val="22"/>
                <w:szCs w:val="22"/>
              </w:rPr>
            </w:pPr>
            <w:r w:rsidRPr="00157F35">
              <w:rPr>
                <w:bCs/>
                <w:color w:val="000000"/>
                <w:sz w:val="22"/>
                <w:szCs w:val="22"/>
              </w:rPr>
              <w:t>% contact hrs taught by FT faculty</w:t>
            </w:r>
            <w:r>
              <w:rPr>
                <w:bCs/>
                <w:color w:val="000000"/>
                <w:sz w:val="22"/>
                <w:szCs w:val="22"/>
                <w:vertAlign w:val="superscript"/>
              </w:rPr>
              <w:t xml:space="preserve"> </w:t>
            </w: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tcPr>
          <w:p w:rsidR="00293503" w:rsidRPr="00157F35" w:rsidRDefault="00293503" w:rsidP="00293503">
            <w:pPr>
              <w:jc w:val="center"/>
              <w:rPr>
                <w:color w:val="000000"/>
                <w:sz w:val="22"/>
                <w:szCs w:val="22"/>
              </w:rPr>
            </w:pPr>
          </w:p>
        </w:tc>
      </w:tr>
      <w:tr w:rsidR="00293503" w:rsidTr="00E8750D">
        <w:trPr>
          <w:trHeight w:val="330"/>
        </w:trPr>
        <w:tc>
          <w:tcPr>
            <w:tcW w:w="3424" w:type="dxa"/>
            <w:shd w:val="clear" w:color="auto" w:fill="auto"/>
            <w:noWrap/>
            <w:vAlign w:val="bottom"/>
          </w:tcPr>
          <w:p w:rsidR="00293503" w:rsidRPr="00157F35" w:rsidRDefault="00293503" w:rsidP="00293503">
            <w:pPr>
              <w:rPr>
                <w:bCs/>
                <w:color w:val="000000"/>
                <w:sz w:val="22"/>
                <w:szCs w:val="22"/>
              </w:rPr>
            </w:pPr>
            <w:r>
              <w:rPr>
                <w:bCs/>
                <w:color w:val="000000"/>
                <w:sz w:val="22"/>
                <w:szCs w:val="22"/>
              </w:rPr>
              <w:t># credit hrs taught by FT faculty</w:t>
            </w: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tcPr>
          <w:p w:rsidR="00293503" w:rsidRPr="00157F35" w:rsidRDefault="00293503" w:rsidP="00293503">
            <w:pPr>
              <w:jc w:val="center"/>
              <w:rPr>
                <w:color w:val="000000"/>
                <w:sz w:val="22"/>
                <w:szCs w:val="22"/>
              </w:rPr>
            </w:pPr>
          </w:p>
        </w:tc>
      </w:tr>
      <w:tr w:rsidR="00293503" w:rsidTr="00E8750D">
        <w:trPr>
          <w:trHeight w:val="330"/>
        </w:trPr>
        <w:tc>
          <w:tcPr>
            <w:tcW w:w="3424" w:type="dxa"/>
            <w:shd w:val="clear" w:color="auto" w:fill="auto"/>
            <w:noWrap/>
            <w:vAlign w:val="bottom"/>
          </w:tcPr>
          <w:p w:rsidR="00293503" w:rsidRPr="00157F35" w:rsidRDefault="00293503" w:rsidP="00293503">
            <w:pPr>
              <w:rPr>
                <w:bCs/>
                <w:color w:val="000000"/>
                <w:sz w:val="22"/>
                <w:szCs w:val="22"/>
              </w:rPr>
            </w:pPr>
            <w:r>
              <w:rPr>
                <w:bCs/>
                <w:color w:val="000000"/>
                <w:sz w:val="22"/>
                <w:szCs w:val="22"/>
              </w:rPr>
              <w:t># credit hrs taught by PT faculty</w:t>
            </w: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496" w:type="dxa"/>
          </w:tcPr>
          <w:p w:rsidR="00293503" w:rsidRPr="00157F35" w:rsidRDefault="00293503" w:rsidP="00293503">
            <w:pPr>
              <w:jc w:val="center"/>
              <w:rPr>
                <w:color w:val="000000"/>
                <w:sz w:val="22"/>
                <w:szCs w:val="22"/>
              </w:rPr>
            </w:pPr>
          </w:p>
        </w:tc>
      </w:tr>
      <w:tr w:rsidR="00293503" w:rsidRPr="00C95CA8" w:rsidTr="00E8750D">
        <w:trPr>
          <w:trHeight w:val="330"/>
        </w:trPr>
        <w:tc>
          <w:tcPr>
            <w:tcW w:w="3424" w:type="dxa"/>
            <w:shd w:val="clear" w:color="auto" w:fill="auto"/>
            <w:noWrap/>
            <w:vAlign w:val="bottom"/>
          </w:tcPr>
          <w:p w:rsidR="00293503" w:rsidRPr="00C95CA8" w:rsidRDefault="00293503" w:rsidP="00293503">
            <w:pPr>
              <w:rPr>
                <w:bCs/>
                <w:color w:val="000000"/>
                <w:sz w:val="22"/>
                <w:szCs w:val="22"/>
              </w:rPr>
            </w:pPr>
            <w:r w:rsidRPr="00C95CA8">
              <w:rPr>
                <w:bCs/>
                <w:color w:val="000000"/>
                <w:sz w:val="22"/>
                <w:szCs w:val="22"/>
              </w:rPr>
              <w:lastRenderedPageBreak/>
              <w:t>% credit hrs taught by FT faculty</w:t>
            </w:r>
          </w:p>
        </w:tc>
        <w:tc>
          <w:tcPr>
            <w:tcW w:w="496" w:type="dxa"/>
            <w:shd w:val="clear" w:color="auto" w:fill="auto"/>
            <w:noWrap/>
            <w:tcMar>
              <w:left w:w="29" w:type="dxa"/>
              <w:right w:w="29" w:type="dxa"/>
            </w:tcMar>
            <w:vAlign w:val="bottom"/>
          </w:tcPr>
          <w:p w:rsidR="00293503" w:rsidRPr="00C95CA8"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C95CA8"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C95CA8"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C95CA8"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C95CA8"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C95CA8"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C95CA8" w:rsidRDefault="00293503" w:rsidP="00293503">
            <w:pPr>
              <w:jc w:val="center"/>
              <w:rPr>
                <w:color w:val="000000"/>
                <w:sz w:val="22"/>
                <w:szCs w:val="22"/>
              </w:rPr>
            </w:pPr>
          </w:p>
        </w:tc>
        <w:tc>
          <w:tcPr>
            <w:tcW w:w="496" w:type="dxa"/>
            <w:shd w:val="clear" w:color="auto" w:fill="auto"/>
            <w:noWrap/>
            <w:tcMar>
              <w:left w:w="29" w:type="dxa"/>
              <w:right w:w="29" w:type="dxa"/>
            </w:tcMar>
            <w:vAlign w:val="bottom"/>
          </w:tcPr>
          <w:p w:rsidR="00293503" w:rsidRPr="00C95CA8" w:rsidRDefault="00293503" w:rsidP="00293503">
            <w:pPr>
              <w:jc w:val="center"/>
              <w:rPr>
                <w:color w:val="000000"/>
                <w:sz w:val="22"/>
                <w:szCs w:val="22"/>
              </w:rPr>
            </w:pPr>
          </w:p>
        </w:tc>
        <w:tc>
          <w:tcPr>
            <w:tcW w:w="496" w:type="dxa"/>
          </w:tcPr>
          <w:p w:rsidR="00293503" w:rsidRPr="00C95CA8" w:rsidRDefault="00293503" w:rsidP="00293503">
            <w:pPr>
              <w:jc w:val="center"/>
              <w:rPr>
                <w:color w:val="000000"/>
                <w:sz w:val="22"/>
                <w:szCs w:val="22"/>
              </w:rPr>
            </w:pPr>
          </w:p>
        </w:tc>
      </w:tr>
    </w:tbl>
    <w:p w:rsidR="00296CA3" w:rsidRPr="00551D7C" w:rsidRDefault="00296CA3" w:rsidP="00296CA3">
      <w:pPr>
        <w:ind w:left="540"/>
        <w:rPr>
          <w:sz w:val="20"/>
          <w:szCs w:val="20"/>
        </w:rPr>
      </w:pPr>
      <w:r w:rsidRPr="00C95CA8">
        <w:rPr>
          <w:sz w:val="20"/>
          <w:szCs w:val="20"/>
          <w:vertAlign w:val="superscript"/>
        </w:rPr>
        <w:t xml:space="preserve">3 </w:t>
      </w:r>
      <w:r w:rsidRPr="00C95CA8">
        <w:rPr>
          <w:sz w:val="20"/>
          <w:szCs w:val="20"/>
        </w:rPr>
        <w:t xml:space="preserve">Sum of all students in all lecture sections taught by department faculty. Note that total enrollments </w:t>
      </w:r>
      <w:proofErr w:type="gramStart"/>
      <w:r w:rsidRPr="00C95CA8">
        <w:rPr>
          <w:sz w:val="20"/>
          <w:szCs w:val="20"/>
        </w:rPr>
        <w:t>is</w:t>
      </w:r>
      <w:proofErr w:type="gramEnd"/>
      <w:r w:rsidRPr="00C95CA8">
        <w:rPr>
          <w:sz w:val="20"/>
          <w:szCs w:val="20"/>
        </w:rPr>
        <w:t xml:space="preserve"> not a total headcount. As students enroll in multiple classes, there will be double counting.</w:t>
      </w:r>
    </w:p>
    <w:p w:rsidR="00296CA3" w:rsidRPr="00551D7C" w:rsidRDefault="00296CA3" w:rsidP="00296CA3">
      <w:pPr>
        <w:ind w:left="540"/>
        <w:rPr>
          <w:sz w:val="20"/>
          <w:szCs w:val="20"/>
        </w:rPr>
      </w:pPr>
      <w:r>
        <w:rPr>
          <w:sz w:val="20"/>
          <w:szCs w:val="20"/>
          <w:vertAlign w:val="superscript"/>
        </w:rPr>
        <w:t>4</w:t>
      </w:r>
      <w:r w:rsidRPr="00551D7C">
        <w:rPr>
          <w:sz w:val="20"/>
          <w:szCs w:val="20"/>
        </w:rPr>
        <w:t xml:space="preserve">A contact hour is </w:t>
      </w:r>
      <w:r>
        <w:rPr>
          <w:sz w:val="20"/>
          <w:szCs w:val="20"/>
        </w:rPr>
        <w:t xml:space="preserve">defined as </w:t>
      </w:r>
      <w:r w:rsidRPr="00551D7C">
        <w:rPr>
          <w:sz w:val="20"/>
          <w:szCs w:val="20"/>
        </w:rPr>
        <w:t xml:space="preserve">a full-semester scheduled class or lab hour </w:t>
      </w:r>
      <w:r>
        <w:rPr>
          <w:sz w:val="20"/>
          <w:szCs w:val="20"/>
        </w:rPr>
        <w:t>where the faculty member is continuously engaged with the students.  Partial semester courses are prorated.  A</w:t>
      </w:r>
      <w:r w:rsidRPr="00551D7C">
        <w:rPr>
          <w:sz w:val="20"/>
          <w:szCs w:val="20"/>
        </w:rPr>
        <w:t xml:space="preserve">cademic credit </w:t>
      </w:r>
      <w:r>
        <w:rPr>
          <w:sz w:val="20"/>
          <w:szCs w:val="20"/>
        </w:rPr>
        <w:t>might not be assigned to all contact hours (for example, a 1-credit 3-contact hour lab).</w:t>
      </w:r>
      <w:r w:rsidRPr="00551D7C">
        <w:rPr>
          <w:sz w:val="20"/>
          <w:szCs w:val="20"/>
        </w:rPr>
        <w:t xml:space="preserve">  Supervisory and distance learning situations are determined on a case by case basis.</w:t>
      </w:r>
    </w:p>
    <w:p w:rsidR="00296CA3" w:rsidRPr="006F27BA" w:rsidRDefault="00296CA3" w:rsidP="00296CA3">
      <w:pPr>
        <w:ind w:left="576"/>
        <w:rPr>
          <w:i/>
        </w:rPr>
      </w:pPr>
      <w:r w:rsidRPr="006F27BA">
        <w:rPr>
          <w:i/>
          <w:highlight w:val="yellow"/>
        </w:rPr>
        <w:t xml:space="preserve">Note – </w:t>
      </w:r>
      <w:r>
        <w:rPr>
          <w:i/>
          <w:highlight w:val="yellow"/>
        </w:rPr>
        <w:t>f</w:t>
      </w:r>
      <w:r w:rsidRPr="00E75FE3">
        <w:rPr>
          <w:i/>
          <w:highlight w:val="yellow"/>
        </w:rPr>
        <w:t xml:space="preserve">eel free to delete unwanted rows (for example if credit </w:t>
      </w:r>
      <w:proofErr w:type="spellStart"/>
      <w:r w:rsidRPr="00E75FE3">
        <w:rPr>
          <w:i/>
          <w:highlight w:val="yellow"/>
        </w:rPr>
        <w:t>hrs</w:t>
      </w:r>
      <w:proofErr w:type="spellEnd"/>
      <w:r w:rsidRPr="00E75FE3">
        <w:rPr>
          <w:i/>
          <w:highlight w:val="yellow"/>
        </w:rPr>
        <w:t xml:space="preserve"> and contact </w:t>
      </w:r>
      <w:proofErr w:type="spellStart"/>
      <w:r w:rsidRPr="00E75FE3">
        <w:rPr>
          <w:i/>
          <w:highlight w:val="yellow"/>
        </w:rPr>
        <w:t>hrs</w:t>
      </w:r>
      <w:proofErr w:type="spellEnd"/>
      <w:r w:rsidRPr="00E75FE3">
        <w:rPr>
          <w:i/>
          <w:highlight w:val="yellow"/>
        </w:rPr>
        <w:t xml:space="preserve"> are identical just delete the contact </w:t>
      </w:r>
      <w:proofErr w:type="spellStart"/>
      <w:r w:rsidRPr="00E75FE3">
        <w:rPr>
          <w:i/>
          <w:highlight w:val="yellow"/>
        </w:rPr>
        <w:t>hr</w:t>
      </w:r>
      <w:proofErr w:type="spellEnd"/>
      <w:r w:rsidRPr="00E75FE3">
        <w:rPr>
          <w:i/>
          <w:highlight w:val="yellow"/>
        </w:rPr>
        <w:t xml:space="preserve"> information)</w:t>
      </w:r>
    </w:p>
    <w:p w:rsidR="00750A6C" w:rsidRDefault="00750A6C" w:rsidP="00AB0DE8">
      <w:pPr>
        <w:ind w:left="576"/>
      </w:pPr>
    </w:p>
    <w:p w:rsidR="00E871D4" w:rsidRDefault="00E871D4" w:rsidP="00AB0DE8">
      <w:pPr>
        <w:ind w:left="576"/>
      </w:pPr>
    </w:p>
    <w:p w:rsidR="00AB0DE8" w:rsidRDefault="00AB0DE8" w:rsidP="00AB0DE8">
      <w:pPr>
        <w:jc w:val="center"/>
      </w:pPr>
      <w:r w:rsidRPr="00157F35">
        <w:t xml:space="preserve">Table </w:t>
      </w:r>
      <w:r w:rsidR="00E75FE3">
        <w:t>10</w:t>
      </w:r>
      <w:r w:rsidRPr="00157F35">
        <w:t xml:space="preserve">. Department of </w:t>
      </w:r>
      <w:r w:rsidRPr="006F27BA">
        <w:rPr>
          <w:highlight w:val="yellow"/>
        </w:rPr>
        <w:t>_____________</w:t>
      </w:r>
      <w:r w:rsidR="0098626F">
        <w:t xml:space="preserve"> </w:t>
      </w:r>
      <w:r w:rsidR="00D47C52">
        <w:t>A</w:t>
      </w:r>
      <w:r>
        <w:t xml:space="preserve">verage </w:t>
      </w:r>
      <w:r w:rsidR="00D47C52">
        <w:t>F</w:t>
      </w:r>
      <w:r>
        <w:t xml:space="preserve">aculty </w:t>
      </w:r>
      <w:r w:rsidR="00D47C52">
        <w:t>W</w:t>
      </w:r>
      <w:r>
        <w:t>orkload</w:t>
      </w:r>
      <w:r w:rsidR="0098626F">
        <w:t>.</w:t>
      </w:r>
      <w:r w:rsidR="00A7635C">
        <w:t xml:space="preserve"> </w:t>
      </w:r>
      <w:r w:rsidR="00A7635C" w:rsidRPr="00A7635C">
        <w:rPr>
          <w:i/>
          <w:highlight w:val="yellow"/>
        </w:rPr>
        <w:t>[</w:t>
      </w:r>
      <w:r w:rsidR="00A7635C" w:rsidRPr="00A7635C">
        <w:rPr>
          <w:b/>
          <w:i/>
          <w:highlight w:val="yellow"/>
        </w:rPr>
        <w:t>Dept. supplies data</w:t>
      </w:r>
      <w:r w:rsidR="00A7635C" w:rsidRPr="00A7635C">
        <w:rPr>
          <w:i/>
          <w:highlight w:val="yellow"/>
        </w:rPr>
        <w:t>]</w:t>
      </w:r>
      <w:r w:rsidR="00A7635C">
        <w:t xml:space="preserve"> </w:t>
      </w:r>
    </w:p>
    <w:p w:rsidR="00071771" w:rsidRPr="00071771" w:rsidRDefault="00071771" w:rsidP="00071771">
      <w:pPr>
        <w:jc w:val="center"/>
        <w:rPr>
          <w:i/>
          <w:sz w:val="20"/>
          <w:szCs w:val="20"/>
        </w:rPr>
      </w:pPr>
      <w:r w:rsidRPr="00071771">
        <w:rPr>
          <w:i/>
          <w:sz w:val="20"/>
          <w:szCs w:val="20"/>
        </w:rPr>
        <w:t xml:space="preserve">Note: As many departments were newly defined as Fall 2024, data for this table will commence as of this date. </w:t>
      </w:r>
    </w:p>
    <w:p w:rsidR="00071771" w:rsidRDefault="00071771" w:rsidP="00AB0DE8">
      <w:pPr>
        <w:jc w:val="center"/>
      </w:pPr>
    </w:p>
    <w:p w:rsidR="00AB0DE8" w:rsidRDefault="00AB0DE8" w:rsidP="00AB0DE8">
      <w:pPr>
        <w:ind w:left="576"/>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576"/>
        <w:gridCol w:w="576"/>
        <w:gridCol w:w="576"/>
        <w:gridCol w:w="576"/>
        <w:gridCol w:w="576"/>
        <w:gridCol w:w="576"/>
        <w:gridCol w:w="576"/>
        <w:gridCol w:w="576"/>
        <w:gridCol w:w="576"/>
      </w:tblGrid>
      <w:tr w:rsidR="00293503" w:rsidRPr="00157F35" w:rsidTr="00874F62">
        <w:trPr>
          <w:trHeight w:val="1152"/>
        </w:trPr>
        <w:tc>
          <w:tcPr>
            <w:tcW w:w="3312" w:type="dxa"/>
            <w:shd w:val="clear" w:color="auto" w:fill="auto"/>
            <w:noWrap/>
            <w:vAlign w:val="bottom"/>
          </w:tcPr>
          <w:p w:rsidR="00293503" w:rsidRDefault="00293503" w:rsidP="00293503">
            <w:pPr>
              <w:rPr>
                <w:bCs/>
                <w:color w:val="000000"/>
                <w:sz w:val="22"/>
                <w:szCs w:val="22"/>
              </w:rPr>
            </w:pPr>
            <w:r>
              <w:rPr>
                <w:bCs/>
                <w:color w:val="000000"/>
                <w:sz w:val="22"/>
                <w:szCs w:val="22"/>
              </w:rPr>
              <w:t>Average per department faculty</w:t>
            </w:r>
          </w:p>
          <w:p w:rsidR="00293503" w:rsidRPr="00157F35" w:rsidRDefault="00293503" w:rsidP="00293503">
            <w:pPr>
              <w:rPr>
                <w:bCs/>
                <w:color w:val="000000"/>
                <w:sz w:val="22"/>
                <w:szCs w:val="22"/>
              </w:rPr>
            </w:pPr>
          </w:p>
        </w:tc>
        <w:tc>
          <w:tcPr>
            <w:tcW w:w="576" w:type="dxa"/>
            <w:shd w:val="clear" w:color="auto" w:fill="auto"/>
            <w:noWrap/>
            <w:textDirection w:val="btLr"/>
            <w:vAlign w:val="center"/>
          </w:tcPr>
          <w:p w:rsidR="00293503" w:rsidRPr="00157F35" w:rsidRDefault="00293503" w:rsidP="00293503">
            <w:pPr>
              <w:jc w:val="center"/>
              <w:rPr>
                <w:bCs/>
                <w:color w:val="000000"/>
                <w:sz w:val="22"/>
                <w:szCs w:val="22"/>
              </w:rPr>
            </w:pPr>
            <w:r w:rsidRPr="00157F35">
              <w:rPr>
                <w:bCs/>
                <w:color w:val="000000"/>
                <w:sz w:val="22"/>
                <w:szCs w:val="22"/>
              </w:rPr>
              <w:t xml:space="preserve">Fall </w:t>
            </w:r>
            <w:r w:rsidR="00071771">
              <w:rPr>
                <w:bCs/>
                <w:color w:val="000000"/>
                <w:sz w:val="22"/>
                <w:szCs w:val="22"/>
              </w:rPr>
              <w:t>2024</w:t>
            </w:r>
          </w:p>
        </w:tc>
        <w:tc>
          <w:tcPr>
            <w:tcW w:w="576" w:type="dxa"/>
            <w:shd w:val="clear" w:color="auto" w:fill="auto"/>
            <w:noWrap/>
            <w:textDirection w:val="btLr"/>
            <w:vAlign w:val="center"/>
          </w:tcPr>
          <w:p w:rsidR="00293503" w:rsidRPr="00157F35" w:rsidRDefault="00293503" w:rsidP="00293503">
            <w:pPr>
              <w:jc w:val="center"/>
              <w:rPr>
                <w:bCs/>
                <w:color w:val="000000"/>
                <w:sz w:val="22"/>
                <w:szCs w:val="22"/>
              </w:rPr>
            </w:pPr>
            <w:r w:rsidRPr="00157F35">
              <w:rPr>
                <w:bCs/>
                <w:color w:val="000000"/>
                <w:sz w:val="22"/>
                <w:szCs w:val="22"/>
              </w:rPr>
              <w:t xml:space="preserve">Spring </w:t>
            </w:r>
            <w:r w:rsidR="00071771">
              <w:rPr>
                <w:bCs/>
                <w:color w:val="000000"/>
                <w:sz w:val="22"/>
                <w:szCs w:val="22"/>
              </w:rPr>
              <w:t>2025</w:t>
            </w:r>
          </w:p>
        </w:tc>
        <w:tc>
          <w:tcPr>
            <w:tcW w:w="576" w:type="dxa"/>
            <w:shd w:val="clear" w:color="auto" w:fill="auto"/>
            <w:noWrap/>
            <w:textDirection w:val="btLr"/>
            <w:vAlign w:val="center"/>
          </w:tcPr>
          <w:p w:rsidR="00293503" w:rsidRPr="00157F35" w:rsidRDefault="00293503" w:rsidP="00293503">
            <w:pPr>
              <w:jc w:val="center"/>
              <w:rPr>
                <w:bCs/>
                <w:color w:val="000000"/>
                <w:sz w:val="22"/>
                <w:szCs w:val="22"/>
              </w:rPr>
            </w:pPr>
            <w:r w:rsidRPr="00157F35">
              <w:rPr>
                <w:bCs/>
                <w:color w:val="000000"/>
                <w:sz w:val="22"/>
                <w:szCs w:val="22"/>
              </w:rPr>
              <w:t xml:space="preserve">Fall </w:t>
            </w:r>
            <w:r w:rsidR="00071771">
              <w:rPr>
                <w:bCs/>
                <w:color w:val="000000"/>
                <w:sz w:val="22"/>
                <w:szCs w:val="22"/>
              </w:rPr>
              <w:t>2025</w:t>
            </w:r>
          </w:p>
        </w:tc>
        <w:tc>
          <w:tcPr>
            <w:tcW w:w="576" w:type="dxa"/>
            <w:shd w:val="clear" w:color="auto" w:fill="auto"/>
            <w:noWrap/>
            <w:textDirection w:val="btLr"/>
            <w:vAlign w:val="center"/>
          </w:tcPr>
          <w:p w:rsidR="00293503" w:rsidRPr="00157F35" w:rsidRDefault="00293503" w:rsidP="00293503">
            <w:pPr>
              <w:jc w:val="center"/>
              <w:rPr>
                <w:bCs/>
                <w:color w:val="000000"/>
                <w:sz w:val="22"/>
                <w:szCs w:val="22"/>
              </w:rPr>
            </w:pPr>
            <w:r w:rsidRPr="00157F35">
              <w:rPr>
                <w:bCs/>
                <w:color w:val="000000"/>
                <w:sz w:val="22"/>
                <w:szCs w:val="22"/>
              </w:rPr>
              <w:t xml:space="preserve">Spring </w:t>
            </w:r>
            <w:r w:rsidR="00071771">
              <w:rPr>
                <w:bCs/>
                <w:color w:val="000000"/>
                <w:sz w:val="22"/>
                <w:szCs w:val="22"/>
              </w:rPr>
              <w:t>2026</w:t>
            </w:r>
          </w:p>
        </w:tc>
        <w:tc>
          <w:tcPr>
            <w:tcW w:w="576" w:type="dxa"/>
            <w:shd w:val="clear" w:color="auto" w:fill="auto"/>
            <w:noWrap/>
            <w:textDirection w:val="btLr"/>
            <w:vAlign w:val="center"/>
          </w:tcPr>
          <w:p w:rsidR="00293503" w:rsidRPr="00157F35" w:rsidRDefault="00293503" w:rsidP="00293503">
            <w:pPr>
              <w:jc w:val="center"/>
              <w:rPr>
                <w:bCs/>
                <w:color w:val="000000"/>
                <w:sz w:val="22"/>
                <w:szCs w:val="22"/>
              </w:rPr>
            </w:pPr>
            <w:r w:rsidRPr="00157F35">
              <w:rPr>
                <w:bCs/>
                <w:color w:val="000000"/>
                <w:sz w:val="22"/>
                <w:szCs w:val="22"/>
              </w:rPr>
              <w:t xml:space="preserve">Fall </w:t>
            </w:r>
            <w:r w:rsidR="00071771">
              <w:rPr>
                <w:bCs/>
                <w:color w:val="000000"/>
                <w:sz w:val="22"/>
                <w:szCs w:val="22"/>
              </w:rPr>
              <w:t>2026</w:t>
            </w:r>
          </w:p>
        </w:tc>
        <w:tc>
          <w:tcPr>
            <w:tcW w:w="576" w:type="dxa"/>
            <w:shd w:val="clear" w:color="auto" w:fill="auto"/>
            <w:noWrap/>
            <w:textDirection w:val="btLr"/>
            <w:vAlign w:val="center"/>
          </w:tcPr>
          <w:p w:rsidR="00293503" w:rsidRPr="00157F35" w:rsidRDefault="00293503" w:rsidP="00293503">
            <w:pPr>
              <w:jc w:val="center"/>
              <w:rPr>
                <w:bCs/>
                <w:color w:val="000000"/>
                <w:sz w:val="22"/>
                <w:szCs w:val="22"/>
              </w:rPr>
            </w:pPr>
            <w:r w:rsidRPr="00157F35">
              <w:rPr>
                <w:bCs/>
                <w:color w:val="000000"/>
                <w:sz w:val="22"/>
                <w:szCs w:val="22"/>
              </w:rPr>
              <w:t xml:space="preserve">Spring </w:t>
            </w:r>
            <w:r w:rsidR="00071771">
              <w:rPr>
                <w:bCs/>
                <w:color w:val="000000"/>
                <w:sz w:val="22"/>
                <w:szCs w:val="22"/>
              </w:rPr>
              <w:t>2027</w:t>
            </w:r>
          </w:p>
        </w:tc>
        <w:tc>
          <w:tcPr>
            <w:tcW w:w="576" w:type="dxa"/>
            <w:shd w:val="clear" w:color="auto" w:fill="auto"/>
            <w:noWrap/>
            <w:textDirection w:val="btLr"/>
            <w:vAlign w:val="center"/>
          </w:tcPr>
          <w:p w:rsidR="00293503" w:rsidRPr="00157F35" w:rsidRDefault="00293503" w:rsidP="00293503">
            <w:pPr>
              <w:jc w:val="center"/>
              <w:rPr>
                <w:bCs/>
                <w:color w:val="000000"/>
                <w:sz w:val="22"/>
                <w:szCs w:val="22"/>
              </w:rPr>
            </w:pPr>
            <w:r w:rsidRPr="00157F35">
              <w:rPr>
                <w:bCs/>
                <w:color w:val="000000"/>
                <w:sz w:val="22"/>
                <w:szCs w:val="22"/>
              </w:rPr>
              <w:t xml:space="preserve">Fall </w:t>
            </w:r>
            <w:r w:rsidR="00071771">
              <w:rPr>
                <w:bCs/>
                <w:color w:val="000000"/>
                <w:sz w:val="22"/>
                <w:szCs w:val="22"/>
              </w:rPr>
              <w:t>2027</w:t>
            </w:r>
          </w:p>
        </w:tc>
        <w:tc>
          <w:tcPr>
            <w:tcW w:w="576" w:type="dxa"/>
            <w:shd w:val="clear" w:color="auto" w:fill="auto"/>
            <w:noWrap/>
            <w:textDirection w:val="btLr"/>
            <w:vAlign w:val="center"/>
          </w:tcPr>
          <w:p w:rsidR="00293503" w:rsidRPr="00157F35" w:rsidRDefault="00293503" w:rsidP="00293503">
            <w:pPr>
              <w:jc w:val="center"/>
              <w:rPr>
                <w:bCs/>
                <w:color w:val="000000"/>
                <w:sz w:val="22"/>
                <w:szCs w:val="22"/>
              </w:rPr>
            </w:pPr>
            <w:r w:rsidRPr="00157F35">
              <w:rPr>
                <w:bCs/>
                <w:color w:val="000000"/>
                <w:sz w:val="22"/>
                <w:szCs w:val="22"/>
              </w:rPr>
              <w:t xml:space="preserve">Spring </w:t>
            </w:r>
            <w:r w:rsidR="00071771">
              <w:rPr>
                <w:bCs/>
                <w:color w:val="000000"/>
                <w:sz w:val="22"/>
                <w:szCs w:val="22"/>
              </w:rPr>
              <w:t>2028</w:t>
            </w:r>
          </w:p>
        </w:tc>
        <w:tc>
          <w:tcPr>
            <w:tcW w:w="576" w:type="dxa"/>
            <w:textDirection w:val="btLr"/>
            <w:vAlign w:val="center"/>
          </w:tcPr>
          <w:p w:rsidR="00293503" w:rsidRPr="00157F35" w:rsidRDefault="00293503" w:rsidP="00293503">
            <w:pPr>
              <w:jc w:val="center"/>
              <w:rPr>
                <w:bCs/>
                <w:color w:val="000000"/>
                <w:sz w:val="22"/>
                <w:szCs w:val="22"/>
              </w:rPr>
            </w:pPr>
            <w:r>
              <w:rPr>
                <w:bCs/>
                <w:color w:val="000000"/>
                <w:sz w:val="22"/>
                <w:szCs w:val="22"/>
              </w:rPr>
              <w:t xml:space="preserve">Fall </w:t>
            </w:r>
            <w:r w:rsidR="00071771">
              <w:rPr>
                <w:bCs/>
                <w:color w:val="000000"/>
                <w:sz w:val="22"/>
                <w:szCs w:val="22"/>
              </w:rPr>
              <w:t>2028</w:t>
            </w:r>
          </w:p>
        </w:tc>
      </w:tr>
      <w:tr w:rsidR="00293503" w:rsidTr="00B928F8">
        <w:trPr>
          <w:trHeight w:val="330"/>
        </w:trPr>
        <w:tc>
          <w:tcPr>
            <w:tcW w:w="3312" w:type="dxa"/>
            <w:shd w:val="clear" w:color="auto" w:fill="auto"/>
            <w:noWrap/>
            <w:vAlign w:val="bottom"/>
          </w:tcPr>
          <w:p w:rsidR="00293503" w:rsidRPr="00157F35" w:rsidRDefault="00293503" w:rsidP="00293503">
            <w:pPr>
              <w:rPr>
                <w:bCs/>
                <w:color w:val="000000"/>
                <w:sz w:val="22"/>
                <w:szCs w:val="22"/>
              </w:rPr>
            </w:pPr>
            <w:r>
              <w:rPr>
                <w:bCs/>
                <w:color w:val="000000"/>
                <w:sz w:val="22"/>
                <w:szCs w:val="22"/>
              </w:rPr>
              <w:t>contact hours</w:t>
            </w: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tcPr>
          <w:p w:rsidR="00293503" w:rsidRPr="00157F35" w:rsidRDefault="00293503" w:rsidP="00293503">
            <w:pPr>
              <w:jc w:val="center"/>
              <w:rPr>
                <w:color w:val="000000"/>
                <w:sz w:val="22"/>
                <w:szCs w:val="22"/>
              </w:rPr>
            </w:pPr>
          </w:p>
        </w:tc>
      </w:tr>
      <w:tr w:rsidR="00293503" w:rsidTr="00B928F8">
        <w:trPr>
          <w:trHeight w:val="330"/>
        </w:trPr>
        <w:tc>
          <w:tcPr>
            <w:tcW w:w="3312" w:type="dxa"/>
            <w:shd w:val="clear" w:color="auto" w:fill="auto"/>
            <w:noWrap/>
            <w:vAlign w:val="bottom"/>
          </w:tcPr>
          <w:p w:rsidR="00293503" w:rsidRPr="00157F35" w:rsidRDefault="00293503" w:rsidP="00293503">
            <w:pPr>
              <w:rPr>
                <w:bCs/>
                <w:color w:val="000000"/>
                <w:sz w:val="22"/>
                <w:szCs w:val="22"/>
              </w:rPr>
            </w:pPr>
            <w:r>
              <w:rPr>
                <w:bCs/>
                <w:color w:val="000000"/>
                <w:sz w:val="22"/>
                <w:szCs w:val="22"/>
              </w:rPr>
              <w:t>different course preparations</w:t>
            </w: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tcPr>
          <w:p w:rsidR="00293503" w:rsidRPr="00157F35" w:rsidRDefault="00293503" w:rsidP="00293503">
            <w:pPr>
              <w:jc w:val="center"/>
              <w:rPr>
                <w:color w:val="000000"/>
                <w:sz w:val="22"/>
                <w:szCs w:val="22"/>
              </w:rPr>
            </w:pPr>
          </w:p>
        </w:tc>
      </w:tr>
      <w:tr w:rsidR="00293503" w:rsidTr="00B928F8">
        <w:trPr>
          <w:trHeight w:val="330"/>
        </w:trPr>
        <w:tc>
          <w:tcPr>
            <w:tcW w:w="3312" w:type="dxa"/>
            <w:shd w:val="clear" w:color="auto" w:fill="auto"/>
            <w:noWrap/>
            <w:vAlign w:val="bottom"/>
          </w:tcPr>
          <w:p w:rsidR="00293503" w:rsidRPr="00157F35" w:rsidRDefault="00293503" w:rsidP="00293503">
            <w:pPr>
              <w:rPr>
                <w:bCs/>
                <w:color w:val="000000"/>
                <w:sz w:val="22"/>
                <w:szCs w:val="22"/>
              </w:rPr>
            </w:pPr>
            <w:r>
              <w:rPr>
                <w:bCs/>
                <w:color w:val="000000"/>
                <w:sz w:val="22"/>
                <w:szCs w:val="22"/>
              </w:rPr>
              <w:t>number of advisees</w:t>
            </w: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shd w:val="clear" w:color="auto" w:fill="auto"/>
            <w:noWrap/>
            <w:tcMar>
              <w:left w:w="29" w:type="dxa"/>
              <w:right w:w="29" w:type="dxa"/>
            </w:tcMar>
            <w:vAlign w:val="bottom"/>
          </w:tcPr>
          <w:p w:rsidR="00293503" w:rsidRPr="00157F35" w:rsidRDefault="00293503" w:rsidP="00293503">
            <w:pPr>
              <w:jc w:val="center"/>
              <w:rPr>
                <w:color w:val="000000"/>
                <w:sz w:val="22"/>
                <w:szCs w:val="22"/>
              </w:rPr>
            </w:pPr>
          </w:p>
        </w:tc>
        <w:tc>
          <w:tcPr>
            <w:tcW w:w="576" w:type="dxa"/>
          </w:tcPr>
          <w:p w:rsidR="00293503" w:rsidRPr="00157F35" w:rsidRDefault="00293503" w:rsidP="00293503">
            <w:pPr>
              <w:jc w:val="center"/>
              <w:rPr>
                <w:color w:val="000000"/>
                <w:sz w:val="22"/>
                <w:szCs w:val="22"/>
              </w:rPr>
            </w:pPr>
          </w:p>
        </w:tc>
      </w:tr>
    </w:tbl>
    <w:p w:rsidR="00E871D4" w:rsidRPr="00E871D4" w:rsidRDefault="00E871D4" w:rsidP="00E871D4">
      <w:pPr>
        <w:ind w:left="576"/>
      </w:pPr>
    </w:p>
    <w:p w:rsidR="00E871D4" w:rsidRPr="00E871D4" w:rsidRDefault="00E871D4" w:rsidP="00E871D4">
      <w:pPr>
        <w:ind w:left="576"/>
      </w:pPr>
    </w:p>
    <w:p w:rsidR="00953A14" w:rsidRPr="009170F6" w:rsidRDefault="00953A14" w:rsidP="00953A14">
      <w:pPr>
        <w:spacing w:after="120"/>
        <w:ind w:left="576" w:hanging="288"/>
        <w:rPr>
          <w:b/>
          <w:i/>
          <w:sz w:val="28"/>
          <w:szCs w:val="28"/>
        </w:rPr>
      </w:pPr>
      <w:r>
        <w:rPr>
          <w:b/>
          <w:i/>
          <w:sz w:val="28"/>
          <w:szCs w:val="28"/>
        </w:rPr>
        <w:t>C</w:t>
      </w:r>
      <w:r w:rsidRPr="009170F6">
        <w:rPr>
          <w:b/>
          <w:i/>
          <w:sz w:val="28"/>
          <w:szCs w:val="28"/>
        </w:rPr>
        <w:t>. Effectiveness in Teaching</w:t>
      </w:r>
    </w:p>
    <w:p w:rsidR="00AC0B73" w:rsidRDefault="00BB3C47" w:rsidP="00750A6C">
      <w:pPr>
        <w:ind w:left="576"/>
      </w:pPr>
      <w:r w:rsidRPr="00872F78">
        <w:rPr>
          <w:b/>
        </w:rPr>
        <w:t>College/School/Department requirements and procedures for course evaluation by students</w:t>
      </w:r>
      <w:r w:rsidR="00872F78">
        <w:t>:</w:t>
      </w:r>
      <w:r w:rsidR="000A0841" w:rsidRPr="00872F78">
        <w:t xml:space="preserve"> </w:t>
      </w:r>
      <w:r w:rsidR="00953A14">
        <w:t xml:space="preserve"> </w:t>
      </w:r>
      <w:r w:rsidR="00CD64DA">
        <w:t xml:space="preserve">Neither the College nor the School of </w:t>
      </w:r>
      <w:r w:rsidR="00CD64DA" w:rsidRPr="00457C57">
        <w:rPr>
          <w:highlight w:val="yellow"/>
        </w:rPr>
        <w:t>_________________</w:t>
      </w:r>
      <w:r w:rsidR="00CD64DA">
        <w:t xml:space="preserve"> mandate student course evaluations except as required for faculty reappointment and promotion or as required by external program accrediting agencies.  </w:t>
      </w:r>
      <w:r w:rsidR="00CD64DA">
        <w:rPr>
          <w:i/>
          <w:highlight w:val="yellow"/>
        </w:rPr>
        <w:t>If the department has a requirement, or at least a stronger statement than that of the College or School, it should be stated here along with a description of how the evaluations are administered and how the results are used to improve teaching.  If the department does not require student course evaluations, then just add the department name to the statement above.</w:t>
      </w:r>
    </w:p>
    <w:p w:rsidR="008A6CFD" w:rsidRDefault="008A6CFD" w:rsidP="00750A6C">
      <w:pPr>
        <w:ind w:left="576"/>
      </w:pPr>
    </w:p>
    <w:p w:rsidR="00872F78" w:rsidRDefault="00872F78" w:rsidP="00750A6C">
      <w:pPr>
        <w:ind w:left="576"/>
      </w:pPr>
    </w:p>
    <w:p w:rsidR="00BB3C47" w:rsidRDefault="00BB3C47" w:rsidP="00750A6C">
      <w:pPr>
        <w:ind w:left="576"/>
      </w:pPr>
      <w:r w:rsidRPr="00872F78">
        <w:rPr>
          <w:b/>
        </w:rPr>
        <w:t xml:space="preserve">Department </w:t>
      </w:r>
      <w:r w:rsidR="00E51280" w:rsidRPr="00872F78">
        <w:rPr>
          <w:b/>
        </w:rPr>
        <w:t>E</w:t>
      </w:r>
      <w:r w:rsidRPr="00872F78">
        <w:rPr>
          <w:b/>
        </w:rPr>
        <w:t>valuation of Teaching Effectiv</w:t>
      </w:r>
      <w:r w:rsidR="00E51280" w:rsidRPr="00872F78">
        <w:rPr>
          <w:b/>
        </w:rPr>
        <w:t>e</w:t>
      </w:r>
      <w:r w:rsidRPr="00872F78">
        <w:rPr>
          <w:b/>
        </w:rPr>
        <w:t>ness</w:t>
      </w:r>
      <w:r w:rsidR="00872F78">
        <w:t xml:space="preserve">:  </w:t>
      </w:r>
      <w:r w:rsidR="008A6CFD" w:rsidRPr="00953A14">
        <w:rPr>
          <w:i/>
          <w:highlight w:val="yellow"/>
        </w:rPr>
        <w:t>– standard statement of department policy for evaluating teaching effectiveness.</w:t>
      </w:r>
    </w:p>
    <w:p w:rsidR="008A6CFD" w:rsidRDefault="008A6CFD" w:rsidP="00750A6C">
      <w:pPr>
        <w:ind w:left="576"/>
      </w:pPr>
    </w:p>
    <w:p w:rsidR="00872F78" w:rsidRDefault="00872F78" w:rsidP="00750A6C">
      <w:pPr>
        <w:ind w:left="576"/>
      </w:pPr>
    </w:p>
    <w:p w:rsidR="00AC0B73" w:rsidRPr="00233964" w:rsidRDefault="00AC0B73" w:rsidP="00233964">
      <w:pPr>
        <w:spacing w:after="120"/>
        <w:rPr>
          <w:b/>
          <w:sz w:val="28"/>
          <w:szCs w:val="28"/>
        </w:rPr>
      </w:pPr>
      <w:r w:rsidRPr="00233964">
        <w:rPr>
          <w:b/>
          <w:sz w:val="28"/>
          <w:szCs w:val="28"/>
        </w:rPr>
        <w:t>IV. The Students</w:t>
      </w:r>
    </w:p>
    <w:p w:rsidR="00E75FE3" w:rsidRPr="00233964" w:rsidRDefault="00E75FE3" w:rsidP="00E75FE3">
      <w:pPr>
        <w:spacing w:after="120"/>
        <w:ind w:left="576" w:hanging="288"/>
        <w:rPr>
          <w:b/>
          <w:i/>
          <w:sz w:val="28"/>
          <w:szCs w:val="28"/>
        </w:rPr>
      </w:pPr>
      <w:r>
        <w:rPr>
          <w:b/>
          <w:i/>
          <w:sz w:val="28"/>
          <w:szCs w:val="28"/>
        </w:rPr>
        <w:t>A</w:t>
      </w:r>
      <w:r w:rsidRPr="00233964">
        <w:rPr>
          <w:b/>
          <w:i/>
          <w:sz w:val="28"/>
          <w:szCs w:val="28"/>
        </w:rPr>
        <w:t>. Admission Requirements for Program</w:t>
      </w:r>
    </w:p>
    <w:p w:rsidR="00E75FE3" w:rsidRPr="00D55EF0" w:rsidRDefault="000118FA" w:rsidP="00E75FE3">
      <w:pPr>
        <w:ind w:left="576"/>
        <w:rPr>
          <w:i/>
        </w:rPr>
      </w:pPr>
      <w:r w:rsidRPr="005D5835">
        <w:rPr>
          <w:i/>
          <w:highlight w:val="yellow"/>
        </w:rPr>
        <w:t>Statement</w:t>
      </w:r>
      <w:r w:rsidR="00E75FE3" w:rsidRPr="005D5835">
        <w:rPr>
          <w:i/>
          <w:highlight w:val="yellow"/>
        </w:rPr>
        <w:t xml:space="preserve"> of admission requirements</w:t>
      </w:r>
    </w:p>
    <w:p w:rsidR="00E75FE3" w:rsidRDefault="00E75FE3" w:rsidP="00E75FE3">
      <w:pPr>
        <w:ind w:left="576"/>
      </w:pPr>
    </w:p>
    <w:p w:rsidR="00E75FE3" w:rsidRDefault="00E75FE3" w:rsidP="00E75FE3">
      <w:pPr>
        <w:ind w:left="576"/>
      </w:pPr>
    </w:p>
    <w:p w:rsidR="00233964" w:rsidRPr="00233964" w:rsidRDefault="00E75FE3" w:rsidP="00233964">
      <w:pPr>
        <w:spacing w:after="120"/>
        <w:ind w:left="576" w:hanging="288"/>
        <w:rPr>
          <w:b/>
          <w:i/>
          <w:sz w:val="28"/>
          <w:szCs w:val="28"/>
        </w:rPr>
      </w:pPr>
      <w:r>
        <w:rPr>
          <w:b/>
          <w:i/>
          <w:sz w:val="28"/>
          <w:szCs w:val="28"/>
        </w:rPr>
        <w:lastRenderedPageBreak/>
        <w:t>B</w:t>
      </w:r>
      <w:r w:rsidR="00AC0B73" w:rsidRPr="00233964">
        <w:rPr>
          <w:b/>
          <w:i/>
          <w:sz w:val="28"/>
          <w:szCs w:val="28"/>
        </w:rPr>
        <w:t>. Profile</w:t>
      </w:r>
      <w:r w:rsidR="001E0FAC">
        <w:rPr>
          <w:b/>
          <w:i/>
          <w:sz w:val="28"/>
          <w:szCs w:val="28"/>
        </w:rPr>
        <w:t xml:space="preserve"> of Incoming Class</w:t>
      </w:r>
    </w:p>
    <w:p w:rsidR="00AC0B73" w:rsidRPr="00233964" w:rsidRDefault="000118FA" w:rsidP="00233964">
      <w:pPr>
        <w:ind w:left="576"/>
        <w:rPr>
          <w:i/>
        </w:rPr>
      </w:pPr>
      <w:r>
        <w:rPr>
          <w:i/>
          <w:highlight w:val="yellow"/>
        </w:rPr>
        <w:t>Brief</w:t>
      </w:r>
      <w:r w:rsidR="001E0FAC">
        <w:rPr>
          <w:i/>
          <w:highlight w:val="yellow"/>
        </w:rPr>
        <w:t xml:space="preserve"> narrative based on table below</w:t>
      </w:r>
    </w:p>
    <w:p w:rsidR="00B614BE" w:rsidRDefault="00B614BE" w:rsidP="00B614BE">
      <w:pPr>
        <w:ind w:left="576"/>
      </w:pPr>
    </w:p>
    <w:p w:rsidR="003033AA" w:rsidRDefault="003033AA" w:rsidP="00B614BE">
      <w:pPr>
        <w:ind w:left="576"/>
      </w:pPr>
    </w:p>
    <w:p w:rsidR="003033AA" w:rsidRDefault="003033AA" w:rsidP="00B614BE">
      <w:pPr>
        <w:ind w:left="576"/>
      </w:pPr>
    </w:p>
    <w:p w:rsidR="005D166B" w:rsidRDefault="005D166B" w:rsidP="001E0FAC">
      <w:pPr>
        <w:jc w:val="center"/>
      </w:pPr>
      <w:r w:rsidRPr="00AE53FD">
        <w:t xml:space="preserve">Table </w:t>
      </w:r>
      <w:r w:rsidR="00E75FE3" w:rsidRPr="00AE53FD">
        <w:t>11</w:t>
      </w:r>
      <w:r w:rsidRPr="00AE53FD">
        <w:t>.  Student</w:t>
      </w:r>
      <w:r>
        <w:t xml:space="preserve"> </w:t>
      </w:r>
      <w:r w:rsidR="00D47C52">
        <w:t>P</w:t>
      </w:r>
      <w:r>
        <w:t xml:space="preserve">rofile </w:t>
      </w:r>
      <w:r w:rsidR="00D47C52">
        <w:t>T</w:t>
      </w:r>
      <w:r>
        <w:t>rends for</w:t>
      </w:r>
      <w:r w:rsidR="001E0FAC">
        <w:t xml:space="preserve"> </w:t>
      </w:r>
      <w:r w:rsidR="00D47C52">
        <w:t>I</w:t>
      </w:r>
      <w:r w:rsidR="001E0FAC">
        <w:t xml:space="preserve">ncoming </w:t>
      </w:r>
      <w:r w:rsidR="00D47C52">
        <w:t>S</w:t>
      </w:r>
      <w:r w:rsidR="001E0FAC">
        <w:t>tudents in</w:t>
      </w:r>
      <w:r>
        <w:t xml:space="preserve"> </w:t>
      </w:r>
      <w:r w:rsidR="009B69C3">
        <w:t xml:space="preserve">this </w:t>
      </w:r>
      <w:r w:rsidR="00D47C52">
        <w:t>P</w:t>
      </w:r>
      <w:r w:rsidR="009B69C3">
        <w:t>rogram</w:t>
      </w:r>
      <w:r w:rsidR="00A7635C">
        <w:t xml:space="preserve">  </w:t>
      </w:r>
      <w:r w:rsidR="00A7635C" w:rsidRPr="00296CA3">
        <w:rPr>
          <w:i/>
        </w:rPr>
        <w:t>[</w:t>
      </w:r>
      <w:r w:rsidR="00A7635C" w:rsidRPr="00296CA3">
        <w:rPr>
          <w:b/>
          <w:i/>
        </w:rPr>
        <w:t>IR updates yearly</w:t>
      </w:r>
      <w:r w:rsidR="00A7635C" w:rsidRPr="00296CA3">
        <w:rPr>
          <w:i/>
        </w:rPr>
        <w:t>]</w:t>
      </w:r>
      <w:r w:rsidR="00A7635C">
        <w:t xml:space="preserve"> </w:t>
      </w:r>
    </w:p>
    <w:p w:rsidR="005D166B" w:rsidRDefault="005D166B" w:rsidP="001E0FAC">
      <w:pPr>
        <w:ind w:left="576"/>
      </w:pPr>
    </w:p>
    <w:tbl>
      <w:tblPr>
        <w:tblW w:w="8919"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9"/>
        <w:gridCol w:w="960"/>
        <w:gridCol w:w="720"/>
        <w:gridCol w:w="720"/>
        <w:gridCol w:w="720"/>
        <w:gridCol w:w="720"/>
        <w:gridCol w:w="720"/>
        <w:gridCol w:w="720"/>
      </w:tblGrid>
      <w:tr w:rsidR="00293503" w:rsidTr="00820C06">
        <w:trPr>
          <w:trHeight w:val="864"/>
        </w:trPr>
        <w:tc>
          <w:tcPr>
            <w:tcW w:w="4599" w:type="dxa"/>
            <w:gridSpan w:val="2"/>
            <w:tcBorders>
              <w:top w:val="nil"/>
              <w:left w:val="nil"/>
            </w:tcBorders>
          </w:tcPr>
          <w:p w:rsidR="00293503" w:rsidRDefault="00293503" w:rsidP="00293503">
            <w:pPr>
              <w:ind w:left="113" w:right="113"/>
              <w:jc w:val="right"/>
            </w:pPr>
          </w:p>
          <w:p w:rsidR="00293503" w:rsidRDefault="00293503" w:rsidP="00293503">
            <w:pPr>
              <w:ind w:left="113" w:right="113"/>
              <w:jc w:val="right"/>
            </w:pPr>
          </w:p>
        </w:tc>
        <w:tc>
          <w:tcPr>
            <w:tcW w:w="720" w:type="dxa"/>
            <w:vAlign w:val="center"/>
          </w:tcPr>
          <w:p w:rsidR="00293503" w:rsidRDefault="00293503" w:rsidP="00293503">
            <w:pPr>
              <w:jc w:val="center"/>
            </w:pPr>
            <w:r>
              <w:t xml:space="preserve">Fall </w:t>
            </w:r>
            <w:r w:rsidR="00071771">
              <w:t>20</w:t>
            </w:r>
            <w:r w:rsidR="00F33837">
              <w:t>20</w:t>
            </w:r>
          </w:p>
        </w:tc>
        <w:tc>
          <w:tcPr>
            <w:tcW w:w="720" w:type="dxa"/>
            <w:vAlign w:val="center"/>
          </w:tcPr>
          <w:p w:rsidR="00293503" w:rsidRDefault="00293503" w:rsidP="00293503">
            <w:pPr>
              <w:jc w:val="center"/>
            </w:pPr>
            <w:r>
              <w:t xml:space="preserve">Fall </w:t>
            </w:r>
            <w:r w:rsidR="00071771">
              <w:t>202</w:t>
            </w:r>
            <w:r w:rsidR="00F33837">
              <w:t>1</w:t>
            </w:r>
          </w:p>
        </w:tc>
        <w:tc>
          <w:tcPr>
            <w:tcW w:w="720" w:type="dxa"/>
            <w:vAlign w:val="center"/>
          </w:tcPr>
          <w:p w:rsidR="00293503" w:rsidRDefault="00293503" w:rsidP="00293503">
            <w:pPr>
              <w:jc w:val="center"/>
            </w:pPr>
            <w:r>
              <w:t xml:space="preserve">Fall </w:t>
            </w:r>
            <w:r w:rsidR="00071771">
              <w:t>202</w:t>
            </w:r>
            <w:r w:rsidR="00F33837">
              <w:t>2</w:t>
            </w:r>
          </w:p>
        </w:tc>
        <w:tc>
          <w:tcPr>
            <w:tcW w:w="720" w:type="dxa"/>
            <w:vAlign w:val="center"/>
          </w:tcPr>
          <w:p w:rsidR="00293503" w:rsidRDefault="00293503" w:rsidP="00293503">
            <w:pPr>
              <w:jc w:val="center"/>
            </w:pPr>
            <w:r>
              <w:t xml:space="preserve">Fall </w:t>
            </w:r>
            <w:r w:rsidR="00071771">
              <w:t>202</w:t>
            </w:r>
            <w:r w:rsidR="00F33837">
              <w:t>3</w:t>
            </w:r>
          </w:p>
        </w:tc>
        <w:tc>
          <w:tcPr>
            <w:tcW w:w="720" w:type="dxa"/>
            <w:vAlign w:val="center"/>
          </w:tcPr>
          <w:p w:rsidR="00293503" w:rsidRDefault="00293503" w:rsidP="00293503">
            <w:pPr>
              <w:jc w:val="center"/>
            </w:pPr>
            <w:r>
              <w:t xml:space="preserve">Fall </w:t>
            </w:r>
            <w:r w:rsidR="00071771">
              <w:t>202</w:t>
            </w:r>
            <w:r w:rsidR="00F33837">
              <w:t>4</w:t>
            </w:r>
          </w:p>
        </w:tc>
        <w:tc>
          <w:tcPr>
            <w:tcW w:w="720" w:type="dxa"/>
          </w:tcPr>
          <w:p w:rsidR="00293503" w:rsidRDefault="00293503" w:rsidP="00293503">
            <w:pPr>
              <w:jc w:val="center"/>
            </w:pPr>
          </w:p>
          <w:p w:rsidR="00293503" w:rsidRDefault="00293503" w:rsidP="00293503">
            <w:r>
              <w:t xml:space="preserve">Fall </w:t>
            </w:r>
            <w:r w:rsidR="00071771">
              <w:t>202</w:t>
            </w:r>
            <w:r w:rsidR="00F33837">
              <w:t>5</w:t>
            </w:r>
          </w:p>
          <w:p w:rsidR="00293503" w:rsidRPr="0029002D" w:rsidRDefault="00293503" w:rsidP="00293503"/>
        </w:tc>
      </w:tr>
      <w:tr w:rsidR="00293503" w:rsidTr="00820C06">
        <w:tc>
          <w:tcPr>
            <w:tcW w:w="4599" w:type="dxa"/>
            <w:gridSpan w:val="2"/>
          </w:tcPr>
          <w:p w:rsidR="00293503" w:rsidRPr="00F71A50" w:rsidRDefault="00293503" w:rsidP="00293503">
            <w:pPr>
              <w:rPr>
                <w:vertAlign w:val="superscript"/>
              </w:rPr>
            </w:pPr>
            <w:r>
              <w:t>Number of applications for program</w:t>
            </w:r>
            <w:r>
              <w:rPr>
                <w:vertAlign w:val="superscript"/>
              </w:rPr>
              <w:t>5</w:t>
            </w: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r>
      <w:tr w:rsidR="00293503" w:rsidTr="00820C06">
        <w:tc>
          <w:tcPr>
            <w:tcW w:w="4599" w:type="dxa"/>
            <w:gridSpan w:val="2"/>
          </w:tcPr>
          <w:p w:rsidR="00293503" w:rsidRDefault="00293503" w:rsidP="00293503">
            <w:r>
              <w:t>Number of acceptances offered</w:t>
            </w:r>
          </w:p>
        </w:tc>
        <w:tc>
          <w:tcPr>
            <w:tcW w:w="720" w:type="dxa"/>
          </w:tcPr>
          <w:p w:rsidR="00293503" w:rsidRPr="002466A8" w:rsidRDefault="00293503" w:rsidP="00293503">
            <w:pPr>
              <w:jc w:val="center"/>
            </w:pPr>
          </w:p>
        </w:tc>
        <w:tc>
          <w:tcPr>
            <w:tcW w:w="720" w:type="dxa"/>
          </w:tcPr>
          <w:p w:rsidR="00293503" w:rsidRPr="002466A8" w:rsidRDefault="00293503" w:rsidP="00293503">
            <w:pPr>
              <w:jc w:val="center"/>
            </w:pPr>
          </w:p>
        </w:tc>
        <w:tc>
          <w:tcPr>
            <w:tcW w:w="720" w:type="dxa"/>
          </w:tcPr>
          <w:p w:rsidR="00293503" w:rsidRPr="002466A8" w:rsidRDefault="00293503" w:rsidP="00293503">
            <w:pPr>
              <w:jc w:val="center"/>
            </w:pPr>
          </w:p>
        </w:tc>
        <w:tc>
          <w:tcPr>
            <w:tcW w:w="720" w:type="dxa"/>
          </w:tcPr>
          <w:p w:rsidR="00293503" w:rsidRPr="002466A8" w:rsidRDefault="00293503" w:rsidP="00293503">
            <w:pPr>
              <w:jc w:val="center"/>
            </w:pPr>
          </w:p>
        </w:tc>
        <w:tc>
          <w:tcPr>
            <w:tcW w:w="720" w:type="dxa"/>
          </w:tcPr>
          <w:p w:rsidR="00293503" w:rsidRPr="002466A8" w:rsidRDefault="00293503" w:rsidP="00293503">
            <w:pPr>
              <w:jc w:val="center"/>
            </w:pPr>
          </w:p>
        </w:tc>
        <w:tc>
          <w:tcPr>
            <w:tcW w:w="720" w:type="dxa"/>
          </w:tcPr>
          <w:p w:rsidR="00293503" w:rsidRPr="002466A8" w:rsidRDefault="00293503" w:rsidP="00293503">
            <w:pPr>
              <w:jc w:val="center"/>
            </w:pPr>
          </w:p>
        </w:tc>
      </w:tr>
      <w:tr w:rsidR="00293503" w:rsidTr="00820C06">
        <w:tc>
          <w:tcPr>
            <w:tcW w:w="4599" w:type="dxa"/>
            <w:gridSpan w:val="2"/>
          </w:tcPr>
          <w:p w:rsidR="00293503" w:rsidRDefault="00293503" w:rsidP="00293503">
            <w:r>
              <w:t>Number of enrolled students (3</w:t>
            </w:r>
            <w:r w:rsidRPr="00957231">
              <w:rPr>
                <w:vertAlign w:val="superscript"/>
              </w:rPr>
              <w:t>rd</w:t>
            </w:r>
            <w:r>
              <w:t xml:space="preserve"> week)</w:t>
            </w: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r>
      <w:tr w:rsidR="00293503" w:rsidTr="00820C06">
        <w:tc>
          <w:tcPr>
            <w:tcW w:w="4599" w:type="dxa"/>
            <w:gridSpan w:val="2"/>
          </w:tcPr>
          <w:p w:rsidR="00293503" w:rsidRDefault="00293503" w:rsidP="00293503">
            <w:r>
              <w:t xml:space="preserve">      Number of enrolled students in-state</w:t>
            </w: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r>
      <w:tr w:rsidR="00293503" w:rsidTr="00820C06">
        <w:tc>
          <w:tcPr>
            <w:tcW w:w="4599" w:type="dxa"/>
            <w:gridSpan w:val="2"/>
          </w:tcPr>
          <w:p w:rsidR="00293503" w:rsidRDefault="00293503" w:rsidP="00293503">
            <w:r>
              <w:t xml:space="preserve">      Number of enrolled students out-of-state</w:t>
            </w: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c>
          <w:tcPr>
            <w:tcW w:w="720" w:type="dxa"/>
          </w:tcPr>
          <w:p w:rsidR="00293503" w:rsidRDefault="00293503" w:rsidP="00293503">
            <w:pPr>
              <w:jc w:val="center"/>
            </w:pPr>
          </w:p>
        </w:tc>
      </w:tr>
      <w:tr w:rsidR="00293503" w:rsidRPr="00C95CA8" w:rsidTr="00820C06">
        <w:tc>
          <w:tcPr>
            <w:tcW w:w="4599" w:type="dxa"/>
            <w:gridSpan w:val="2"/>
          </w:tcPr>
          <w:p w:rsidR="00293503" w:rsidRPr="00C95CA8" w:rsidRDefault="00293503" w:rsidP="00293503">
            <w:r w:rsidRPr="00C95CA8">
              <w:t>Mean HS GPA of enrolled students</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3639" w:type="dxa"/>
            <w:vMerge w:val="restart"/>
            <w:vAlign w:val="center"/>
          </w:tcPr>
          <w:p w:rsidR="00293503" w:rsidRPr="00C95CA8" w:rsidRDefault="00293503" w:rsidP="00293503">
            <w:pPr>
              <w:jc w:val="center"/>
            </w:pPr>
          </w:p>
          <w:p w:rsidR="00293503" w:rsidRPr="00C95CA8" w:rsidRDefault="00293503" w:rsidP="00293503">
            <w:pPr>
              <w:jc w:val="center"/>
            </w:pPr>
            <w:r w:rsidRPr="00C95CA8">
              <w:t>Percent of enrolled students by selectivity category</w:t>
            </w:r>
            <w:r w:rsidRPr="00C95CA8">
              <w:rPr>
                <w:vertAlign w:val="superscript"/>
              </w:rPr>
              <w:t xml:space="preserve"> 6</w:t>
            </w:r>
          </w:p>
        </w:tc>
        <w:tc>
          <w:tcPr>
            <w:tcW w:w="960" w:type="dxa"/>
          </w:tcPr>
          <w:p w:rsidR="00293503" w:rsidRPr="00C95CA8" w:rsidRDefault="00293503" w:rsidP="00293503">
            <w:pPr>
              <w:jc w:val="center"/>
              <w:rPr>
                <w:sz w:val="22"/>
              </w:rPr>
            </w:pPr>
            <w:r w:rsidRPr="00C95CA8">
              <w:rPr>
                <w:sz w:val="22"/>
              </w:rPr>
              <w:t>Group 0</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3639" w:type="dxa"/>
            <w:vMerge/>
          </w:tcPr>
          <w:p w:rsidR="00293503" w:rsidRPr="00C95CA8" w:rsidRDefault="00293503" w:rsidP="00293503"/>
        </w:tc>
        <w:tc>
          <w:tcPr>
            <w:tcW w:w="960" w:type="dxa"/>
          </w:tcPr>
          <w:p w:rsidR="00293503" w:rsidRPr="00C95CA8" w:rsidRDefault="00293503" w:rsidP="00293503">
            <w:pPr>
              <w:jc w:val="center"/>
              <w:rPr>
                <w:sz w:val="22"/>
              </w:rPr>
            </w:pPr>
            <w:r w:rsidRPr="00C95CA8">
              <w:rPr>
                <w:sz w:val="22"/>
              </w:rPr>
              <w:t>Group 1</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3639" w:type="dxa"/>
            <w:vMerge/>
          </w:tcPr>
          <w:p w:rsidR="00293503" w:rsidRPr="00C95CA8" w:rsidRDefault="00293503" w:rsidP="00293503"/>
        </w:tc>
        <w:tc>
          <w:tcPr>
            <w:tcW w:w="960" w:type="dxa"/>
          </w:tcPr>
          <w:p w:rsidR="00293503" w:rsidRPr="00C95CA8" w:rsidRDefault="00293503" w:rsidP="00293503">
            <w:pPr>
              <w:jc w:val="center"/>
              <w:rPr>
                <w:sz w:val="22"/>
              </w:rPr>
            </w:pPr>
            <w:r w:rsidRPr="00C95CA8">
              <w:rPr>
                <w:sz w:val="22"/>
              </w:rPr>
              <w:t>Group 2</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3639" w:type="dxa"/>
            <w:vMerge/>
          </w:tcPr>
          <w:p w:rsidR="00293503" w:rsidRPr="00C95CA8" w:rsidRDefault="00293503" w:rsidP="00293503"/>
        </w:tc>
        <w:tc>
          <w:tcPr>
            <w:tcW w:w="960" w:type="dxa"/>
          </w:tcPr>
          <w:p w:rsidR="00293503" w:rsidRPr="00C95CA8" w:rsidRDefault="00293503" w:rsidP="00293503">
            <w:pPr>
              <w:jc w:val="center"/>
              <w:rPr>
                <w:sz w:val="22"/>
              </w:rPr>
            </w:pPr>
            <w:r w:rsidRPr="00C95CA8">
              <w:rPr>
                <w:sz w:val="22"/>
              </w:rPr>
              <w:t>Group 3</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3639" w:type="dxa"/>
            <w:vMerge/>
          </w:tcPr>
          <w:p w:rsidR="00293503" w:rsidRPr="00C95CA8" w:rsidRDefault="00293503" w:rsidP="00293503"/>
        </w:tc>
        <w:tc>
          <w:tcPr>
            <w:tcW w:w="960" w:type="dxa"/>
          </w:tcPr>
          <w:p w:rsidR="00293503" w:rsidRPr="00C95CA8" w:rsidRDefault="00293503" w:rsidP="00293503">
            <w:pPr>
              <w:jc w:val="center"/>
              <w:rPr>
                <w:sz w:val="22"/>
              </w:rPr>
            </w:pPr>
            <w:r w:rsidRPr="00C95CA8">
              <w:rPr>
                <w:sz w:val="22"/>
              </w:rPr>
              <w:t>Group 4</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3639" w:type="dxa"/>
            <w:vMerge/>
          </w:tcPr>
          <w:p w:rsidR="00293503" w:rsidRPr="00C95CA8" w:rsidRDefault="00293503" w:rsidP="00293503"/>
        </w:tc>
        <w:tc>
          <w:tcPr>
            <w:tcW w:w="960" w:type="dxa"/>
          </w:tcPr>
          <w:p w:rsidR="00293503" w:rsidRPr="00C95CA8" w:rsidRDefault="00293503" w:rsidP="00293503">
            <w:pPr>
              <w:jc w:val="center"/>
              <w:rPr>
                <w:sz w:val="22"/>
              </w:rPr>
            </w:pPr>
            <w:r w:rsidRPr="00C95CA8">
              <w:rPr>
                <w:sz w:val="22"/>
              </w:rPr>
              <w:t>Group 5</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3639" w:type="dxa"/>
            <w:vMerge w:val="restart"/>
            <w:shd w:val="clear" w:color="auto" w:fill="auto"/>
          </w:tcPr>
          <w:p w:rsidR="00293503" w:rsidRPr="00C95CA8" w:rsidRDefault="00293503" w:rsidP="00293503"/>
          <w:p w:rsidR="00293503" w:rsidRPr="00C95CA8" w:rsidRDefault="00293503" w:rsidP="00293503">
            <w:r w:rsidRPr="00C95CA8">
              <w:t>Percent of enrolled students by high school average</w:t>
            </w:r>
            <w:r w:rsidRPr="00C95CA8">
              <w:rPr>
                <w:vertAlign w:val="superscript"/>
              </w:rPr>
              <w:t xml:space="preserve"> </w:t>
            </w:r>
          </w:p>
        </w:tc>
        <w:tc>
          <w:tcPr>
            <w:tcW w:w="960" w:type="dxa"/>
            <w:shd w:val="clear" w:color="auto" w:fill="auto"/>
          </w:tcPr>
          <w:p w:rsidR="00293503" w:rsidRPr="00C95CA8" w:rsidRDefault="00293503" w:rsidP="00293503">
            <w:pPr>
              <w:jc w:val="center"/>
            </w:pPr>
            <w:r w:rsidRPr="00C95CA8">
              <w:t>90-100</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3639" w:type="dxa"/>
            <w:vMerge/>
            <w:shd w:val="clear" w:color="auto" w:fill="auto"/>
          </w:tcPr>
          <w:p w:rsidR="00293503" w:rsidRPr="00C95CA8" w:rsidRDefault="00293503" w:rsidP="00293503"/>
        </w:tc>
        <w:tc>
          <w:tcPr>
            <w:tcW w:w="960" w:type="dxa"/>
            <w:shd w:val="clear" w:color="auto" w:fill="auto"/>
          </w:tcPr>
          <w:p w:rsidR="00293503" w:rsidRPr="00C95CA8" w:rsidRDefault="00293503" w:rsidP="00293503">
            <w:pPr>
              <w:jc w:val="center"/>
            </w:pPr>
            <w:r w:rsidRPr="00C95CA8">
              <w:t>85-89</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tc>
        <w:tc>
          <w:tcPr>
            <w:tcW w:w="720" w:type="dxa"/>
          </w:tcPr>
          <w:p w:rsidR="00293503" w:rsidRPr="00C95CA8" w:rsidRDefault="00293503" w:rsidP="00293503">
            <w:pPr>
              <w:jc w:val="center"/>
            </w:pPr>
          </w:p>
        </w:tc>
      </w:tr>
      <w:tr w:rsidR="00293503" w:rsidRPr="00C95CA8" w:rsidTr="00820C06">
        <w:tc>
          <w:tcPr>
            <w:tcW w:w="3639" w:type="dxa"/>
            <w:vMerge/>
            <w:shd w:val="clear" w:color="auto" w:fill="auto"/>
          </w:tcPr>
          <w:p w:rsidR="00293503" w:rsidRPr="00C95CA8" w:rsidRDefault="00293503" w:rsidP="00293503"/>
        </w:tc>
        <w:tc>
          <w:tcPr>
            <w:tcW w:w="960" w:type="dxa"/>
            <w:shd w:val="clear" w:color="auto" w:fill="auto"/>
          </w:tcPr>
          <w:p w:rsidR="00293503" w:rsidRPr="00C95CA8" w:rsidRDefault="00293503" w:rsidP="00293503">
            <w:pPr>
              <w:jc w:val="center"/>
            </w:pPr>
            <w:r w:rsidRPr="00C95CA8">
              <w:t>80-84</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3639" w:type="dxa"/>
            <w:vMerge/>
            <w:shd w:val="clear" w:color="auto" w:fill="auto"/>
          </w:tcPr>
          <w:p w:rsidR="00293503" w:rsidRPr="00C95CA8" w:rsidRDefault="00293503" w:rsidP="00293503"/>
        </w:tc>
        <w:tc>
          <w:tcPr>
            <w:tcW w:w="960" w:type="dxa"/>
            <w:shd w:val="clear" w:color="auto" w:fill="auto"/>
          </w:tcPr>
          <w:p w:rsidR="00293503" w:rsidRPr="00C95CA8" w:rsidRDefault="00293503" w:rsidP="00293503">
            <w:pPr>
              <w:jc w:val="center"/>
            </w:pPr>
            <w:r w:rsidRPr="00C95CA8">
              <w:t>75-79</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3639" w:type="dxa"/>
            <w:vMerge/>
            <w:shd w:val="clear" w:color="auto" w:fill="auto"/>
          </w:tcPr>
          <w:p w:rsidR="00293503" w:rsidRPr="00C95CA8" w:rsidRDefault="00293503" w:rsidP="00293503"/>
        </w:tc>
        <w:tc>
          <w:tcPr>
            <w:tcW w:w="960" w:type="dxa"/>
            <w:shd w:val="clear" w:color="auto" w:fill="auto"/>
          </w:tcPr>
          <w:p w:rsidR="00293503" w:rsidRPr="00C95CA8" w:rsidRDefault="00293503" w:rsidP="00293503">
            <w:pPr>
              <w:jc w:val="center"/>
            </w:pPr>
            <w:r w:rsidRPr="00C95CA8">
              <w:t>70-74</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3639" w:type="dxa"/>
            <w:vMerge/>
            <w:shd w:val="clear" w:color="auto" w:fill="auto"/>
          </w:tcPr>
          <w:p w:rsidR="00293503" w:rsidRPr="00C95CA8" w:rsidRDefault="00293503" w:rsidP="00293503"/>
        </w:tc>
        <w:tc>
          <w:tcPr>
            <w:tcW w:w="960" w:type="dxa"/>
            <w:shd w:val="clear" w:color="auto" w:fill="auto"/>
          </w:tcPr>
          <w:p w:rsidR="00293503" w:rsidRPr="00C95CA8" w:rsidRDefault="00293503" w:rsidP="00293503">
            <w:pPr>
              <w:jc w:val="center"/>
            </w:pPr>
            <w:r w:rsidRPr="00C95CA8">
              <w:t>&lt; 70</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4599" w:type="dxa"/>
            <w:gridSpan w:val="2"/>
          </w:tcPr>
          <w:p w:rsidR="00293503" w:rsidRPr="00C95CA8" w:rsidRDefault="00293503" w:rsidP="00293503">
            <w:r w:rsidRPr="00C95CA8">
              <w:t>Percent enrolled students that are female</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r w:rsidR="00293503" w:rsidRPr="00C95CA8" w:rsidTr="00820C06">
        <w:tc>
          <w:tcPr>
            <w:tcW w:w="4599" w:type="dxa"/>
            <w:gridSpan w:val="2"/>
          </w:tcPr>
          <w:p w:rsidR="00293503" w:rsidRPr="00C95CA8" w:rsidRDefault="00293503" w:rsidP="00293503">
            <w:r w:rsidRPr="00C95CA8">
              <w:t>Percent enrolled students that are male</w:t>
            </w: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c>
          <w:tcPr>
            <w:tcW w:w="720" w:type="dxa"/>
          </w:tcPr>
          <w:p w:rsidR="00293503" w:rsidRPr="00C95CA8" w:rsidRDefault="00293503" w:rsidP="00293503">
            <w:pPr>
              <w:jc w:val="center"/>
            </w:pPr>
          </w:p>
        </w:tc>
      </w:tr>
    </w:tbl>
    <w:p w:rsidR="00296CA3" w:rsidRPr="00C95CA8" w:rsidRDefault="00296CA3" w:rsidP="00296CA3">
      <w:pPr>
        <w:ind w:left="576" w:right="288"/>
        <w:rPr>
          <w:sz w:val="22"/>
          <w:szCs w:val="22"/>
        </w:rPr>
      </w:pPr>
      <w:r w:rsidRPr="00C95CA8">
        <w:rPr>
          <w:sz w:val="22"/>
          <w:szCs w:val="22"/>
          <w:vertAlign w:val="superscript"/>
        </w:rPr>
        <w:t xml:space="preserve">5 </w:t>
      </w:r>
      <w:r w:rsidRPr="00C95CA8">
        <w:rPr>
          <w:sz w:val="22"/>
          <w:szCs w:val="22"/>
        </w:rPr>
        <w:t>The application and acceptance counts represent incoming freshman and transfer students, whereas all other data include all enrolled students.</w:t>
      </w:r>
    </w:p>
    <w:p w:rsidR="00296CA3" w:rsidRPr="00C17BD8" w:rsidRDefault="00296CA3" w:rsidP="00296CA3">
      <w:pPr>
        <w:ind w:left="576" w:right="288"/>
        <w:rPr>
          <w:sz w:val="22"/>
          <w:szCs w:val="22"/>
        </w:rPr>
      </w:pPr>
      <w:r w:rsidRPr="00C95CA8">
        <w:rPr>
          <w:sz w:val="22"/>
          <w:szCs w:val="22"/>
          <w:vertAlign w:val="superscript"/>
        </w:rPr>
        <w:t xml:space="preserve">6 </w:t>
      </w:r>
      <w:r w:rsidRPr="00C95CA8">
        <w:rPr>
          <w:sz w:val="22"/>
          <w:szCs w:val="22"/>
        </w:rPr>
        <w:t>The selectivity category is based on HS average and SAT score where 1 is the most selective and 5 is open admission.  Students without a SAT score are included in Group 0.</w:t>
      </w:r>
    </w:p>
    <w:p w:rsidR="00233964" w:rsidRDefault="00233964" w:rsidP="00233964">
      <w:pPr>
        <w:ind w:left="576"/>
      </w:pPr>
    </w:p>
    <w:p w:rsidR="005D5835" w:rsidRDefault="005D5835" w:rsidP="00233964">
      <w:pPr>
        <w:ind w:left="576"/>
      </w:pPr>
    </w:p>
    <w:p w:rsidR="00233964" w:rsidRPr="00233964" w:rsidRDefault="003A65EC" w:rsidP="00233964">
      <w:pPr>
        <w:spacing w:after="120"/>
        <w:ind w:left="576" w:hanging="288"/>
        <w:rPr>
          <w:b/>
          <w:i/>
          <w:sz w:val="28"/>
          <w:szCs w:val="28"/>
        </w:rPr>
      </w:pPr>
      <w:r w:rsidRPr="002439AB">
        <w:rPr>
          <w:b/>
          <w:i/>
          <w:sz w:val="28"/>
          <w:szCs w:val="28"/>
        </w:rPr>
        <w:t>C. Placement Procedures</w:t>
      </w:r>
      <w:r w:rsidR="004E1C61" w:rsidRPr="002439AB">
        <w:rPr>
          <w:b/>
          <w:i/>
          <w:sz w:val="28"/>
          <w:szCs w:val="28"/>
        </w:rPr>
        <w:t xml:space="preserve"> (Updated </w:t>
      </w:r>
      <w:r w:rsidR="002439AB" w:rsidRPr="002439AB">
        <w:rPr>
          <w:b/>
          <w:i/>
          <w:sz w:val="28"/>
          <w:szCs w:val="28"/>
        </w:rPr>
        <w:t>Aug 2023</w:t>
      </w:r>
      <w:r w:rsidR="004E1C61" w:rsidRPr="002439AB">
        <w:rPr>
          <w:b/>
          <w:i/>
          <w:sz w:val="28"/>
          <w:szCs w:val="28"/>
        </w:rPr>
        <w:t>)</w:t>
      </w:r>
    </w:p>
    <w:p w:rsidR="003A65EC" w:rsidRPr="00D55EF0" w:rsidRDefault="000118FA" w:rsidP="00D55EF0">
      <w:pPr>
        <w:ind w:left="576"/>
        <w:rPr>
          <w:i/>
        </w:rPr>
      </w:pPr>
      <w:r w:rsidRPr="00FD5452">
        <w:rPr>
          <w:i/>
          <w:highlight w:val="yellow"/>
        </w:rPr>
        <w:t>Description</w:t>
      </w:r>
      <w:r w:rsidR="00FD5452" w:rsidRPr="00FD5452">
        <w:rPr>
          <w:i/>
          <w:highlight w:val="yellow"/>
        </w:rPr>
        <w:t xml:space="preserve"> of how student</w:t>
      </w:r>
      <w:r w:rsidR="00B00625">
        <w:rPr>
          <w:i/>
          <w:highlight w:val="yellow"/>
        </w:rPr>
        <w:t>s are placed in first semester courses based on academic background (if such a placement exists) and a statement describing how deficiencies</w:t>
      </w:r>
      <w:r w:rsidR="00FD5452" w:rsidRPr="00FD5452">
        <w:rPr>
          <w:i/>
          <w:highlight w:val="yellow"/>
        </w:rPr>
        <w:t xml:space="preserve"> are </w:t>
      </w:r>
      <w:r w:rsidR="00FD5452" w:rsidRPr="0086256B">
        <w:rPr>
          <w:i/>
          <w:highlight w:val="yellow"/>
        </w:rPr>
        <w:t>addressed</w:t>
      </w:r>
      <w:r w:rsidR="0086256B" w:rsidRPr="0086256B">
        <w:rPr>
          <w:i/>
          <w:highlight w:val="yellow"/>
        </w:rPr>
        <w:t xml:space="preserve"> – see sample </w:t>
      </w:r>
      <w:r w:rsidR="0086256B" w:rsidRPr="00B00625">
        <w:rPr>
          <w:i/>
          <w:highlight w:val="yellow"/>
        </w:rPr>
        <w:t>statements</w:t>
      </w:r>
      <w:r w:rsidR="00B00625" w:rsidRPr="00B00625">
        <w:rPr>
          <w:i/>
          <w:highlight w:val="yellow"/>
        </w:rPr>
        <w:t>.  You do not have to describe placement in math and English since these are described in the standard statement below.</w:t>
      </w:r>
    </w:p>
    <w:p w:rsidR="00233964" w:rsidRDefault="00233964" w:rsidP="00233964">
      <w:pPr>
        <w:ind w:left="576"/>
      </w:pPr>
    </w:p>
    <w:p w:rsidR="00084135" w:rsidRDefault="00084135" w:rsidP="00084135">
      <w:pPr>
        <w:spacing w:after="120"/>
        <w:ind w:left="576"/>
        <w:jc w:val="both"/>
      </w:pPr>
      <w:r w:rsidRPr="000052CC">
        <w:rPr>
          <w:b/>
        </w:rPr>
        <w:t>Placement Procedures in Mathematics Courses:</w:t>
      </w:r>
      <w:r>
        <w:rPr>
          <w:b/>
        </w:rPr>
        <w:t xml:space="preserve">  </w:t>
      </w:r>
      <w:r w:rsidRPr="000052CC">
        <w:t xml:space="preserve">Placement in mathematics courses is </w:t>
      </w:r>
      <w:r>
        <w:t xml:space="preserve">made by a designee of the Mathematics Department and is based on an evaluation of high </w:t>
      </w:r>
      <w:r>
        <w:lastRenderedPageBreak/>
        <w:t xml:space="preserve">school transcripts.  </w:t>
      </w:r>
      <w:r w:rsidRPr="000052CC">
        <w:t>Students have the opportunity to discuss the final placement with an advisor or with the Mathematics Department during the drop-add week at the beginning of the semester.</w:t>
      </w:r>
      <w:r>
        <w:t xml:space="preserve">  </w:t>
      </w:r>
      <w:r w:rsidRPr="000052CC">
        <w:t xml:space="preserve">Prerequisites and proper placement are reviewed during the </w:t>
      </w:r>
      <w:proofErr w:type="gramStart"/>
      <w:r w:rsidRPr="000052CC">
        <w:t>first class</w:t>
      </w:r>
      <w:proofErr w:type="gramEnd"/>
      <w:r w:rsidRPr="000052CC">
        <w:t xml:space="preserve"> meeting of all mathematics courses.  If a student feels that they have been misplaced, the mathematics instructor will work with the student to make the necessary changes.</w:t>
      </w:r>
    </w:p>
    <w:p w:rsidR="009C22AB" w:rsidRDefault="009C22AB" w:rsidP="009C22AB">
      <w:pPr>
        <w:jc w:val="both"/>
      </w:pPr>
    </w:p>
    <w:p w:rsidR="005F5A24" w:rsidRPr="000C120C" w:rsidRDefault="005F5A24" w:rsidP="005F5A24">
      <w:pPr>
        <w:jc w:val="center"/>
      </w:pPr>
      <w:r w:rsidRPr="000C120C">
        <w:t>Table 12.  Criteria for Mathematics Course Placement.</w:t>
      </w:r>
    </w:p>
    <w:p w:rsidR="005F5A24" w:rsidRDefault="005F5A24" w:rsidP="005F5A24">
      <w:pPr>
        <w:jc w:val="both"/>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6166"/>
        <w:gridCol w:w="3681"/>
      </w:tblGrid>
      <w:tr w:rsidR="005F5A24" w:rsidRPr="005F5A24" w:rsidTr="00937B75">
        <w:trPr>
          <w:trHeight w:val="395"/>
        </w:trPr>
        <w:tc>
          <w:tcPr>
            <w:tcW w:w="3131" w:type="pct"/>
          </w:tcPr>
          <w:p w:rsidR="005F5A24" w:rsidRPr="005F5A24" w:rsidRDefault="005F5A24" w:rsidP="00937B75">
            <w:pPr>
              <w:ind w:left="576"/>
              <w:rPr>
                <w:rFonts w:ascii="Calibri" w:hAnsi="Calibri" w:cs="Calibri"/>
                <w:b/>
              </w:rPr>
            </w:pPr>
            <w:r w:rsidRPr="005F5A24">
              <w:rPr>
                <w:rFonts w:ascii="Calibri" w:hAnsi="Calibri" w:cs="Calibri"/>
                <w:b/>
                <w:bCs/>
              </w:rPr>
              <w:t>Mathematics Background</w:t>
            </w:r>
          </w:p>
        </w:tc>
        <w:tc>
          <w:tcPr>
            <w:tcW w:w="1869" w:type="pct"/>
          </w:tcPr>
          <w:p w:rsidR="005F5A24" w:rsidRPr="005F5A24" w:rsidRDefault="005F5A24" w:rsidP="00937B75">
            <w:pPr>
              <w:ind w:left="576"/>
              <w:rPr>
                <w:rFonts w:ascii="Calibri" w:hAnsi="Calibri" w:cs="Calibri"/>
                <w:b/>
              </w:rPr>
            </w:pPr>
            <w:r w:rsidRPr="005F5A24">
              <w:rPr>
                <w:rFonts w:ascii="Calibri" w:hAnsi="Calibri" w:cs="Calibri"/>
                <w:b/>
                <w:bCs/>
              </w:rPr>
              <w:t>Recommended First Course</w:t>
            </w:r>
          </w:p>
        </w:tc>
      </w:tr>
      <w:tr w:rsidR="005F5A24" w:rsidRPr="005F5A24" w:rsidTr="00937B75">
        <w:trPr>
          <w:trHeight w:val="1385"/>
        </w:trPr>
        <w:tc>
          <w:tcPr>
            <w:tcW w:w="3131" w:type="pct"/>
          </w:tcPr>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4 years including:</w:t>
            </w:r>
          </w:p>
          <w:p w:rsidR="005F5A24" w:rsidRPr="000C120C" w:rsidRDefault="005F5A24" w:rsidP="00937B75">
            <w:pPr>
              <w:ind w:left="576"/>
              <w:rPr>
                <w:rFonts w:ascii="Calibri" w:hAnsi="Calibri" w:cs="Calibri"/>
                <w:b/>
                <w:sz w:val="20"/>
                <w:szCs w:val="20"/>
              </w:rPr>
            </w:pPr>
            <w:r w:rsidRPr="000C120C">
              <w:rPr>
                <w:rFonts w:ascii="Calibri" w:hAnsi="Calibri" w:cs="Calibri"/>
                <w:b/>
                <w:sz w:val="20"/>
                <w:szCs w:val="20"/>
              </w:rPr>
              <w:t xml:space="preserve">Algebra, Geometry, Algebra II &amp; Trigonometry, </w:t>
            </w:r>
            <w:r w:rsidRPr="000C120C">
              <w:rPr>
                <w:rFonts w:ascii="Calibri" w:hAnsi="Calibri" w:cs="Calibri"/>
                <w:b/>
                <w:sz w:val="20"/>
                <w:szCs w:val="20"/>
                <w:u w:val="single"/>
              </w:rPr>
              <w:t xml:space="preserve">and </w:t>
            </w:r>
          </w:p>
          <w:p w:rsidR="005F5A24" w:rsidRPr="005F5A24" w:rsidRDefault="005F5A24" w:rsidP="00937B75">
            <w:pPr>
              <w:ind w:left="576"/>
              <w:rPr>
                <w:rFonts w:ascii="Calibri" w:hAnsi="Calibri" w:cs="Calibri"/>
                <w:b/>
                <w:sz w:val="20"/>
                <w:szCs w:val="20"/>
              </w:rPr>
            </w:pPr>
            <w:r w:rsidRPr="000C120C">
              <w:rPr>
                <w:rFonts w:ascii="Calibri" w:hAnsi="Calibri" w:cs="Calibri"/>
                <w:b/>
                <w:sz w:val="20"/>
                <w:szCs w:val="20"/>
              </w:rPr>
              <w:t>Pre-calculus with an average &gt; 80</w:t>
            </w:r>
          </w:p>
        </w:tc>
        <w:tc>
          <w:tcPr>
            <w:tcW w:w="1869" w:type="pct"/>
          </w:tcPr>
          <w:p w:rsidR="005F5A24" w:rsidRPr="005F5A24" w:rsidRDefault="005F5A24" w:rsidP="00937B75">
            <w:pPr>
              <w:ind w:left="576"/>
              <w:rPr>
                <w:rFonts w:ascii="Calibri" w:hAnsi="Calibri" w:cs="Calibri"/>
                <w:b/>
                <w:sz w:val="20"/>
                <w:szCs w:val="20"/>
              </w:rPr>
            </w:pPr>
          </w:p>
          <w:p w:rsidR="005F5A24" w:rsidRPr="005F5A24" w:rsidRDefault="005F5A24" w:rsidP="00937B75">
            <w:pPr>
              <w:ind w:left="576"/>
              <w:rPr>
                <w:rFonts w:ascii="Calibri" w:hAnsi="Calibri" w:cs="Calibri"/>
                <w:b/>
                <w:sz w:val="20"/>
                <w:szCs w:val="20"/>
              </w:rPr>
            </w:pPr>
          </w:p>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MATH 231</w:t>
            </w:r>
          </w:p>
        </w:tc>
      </w:tr>
      <w:tr w:rsidR="005F5A24" w:rsidRPr="005F5A24" w:rsidTr="00937B75">
        <w:trPr>
          <w:trHeight w:val="1420"/>
        </w:trPr>
        <w:tc>
          <w:tcPr>
            <w:tcW w:w="3131" w:type="pct"/>
          </w:tcPr>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4 years including:</w:t>
            </w:r>
          </w:p>
          <w:p w:rsidR="005F5A24" w:rsidRPr="000C120C" w:rsidRDefault="005F5A24" w:rsidP="00937B75">
            <w:pPr>
              <w:ind w:left="576"/>
              <w:rPr>
                <w:rFonts w:ascii="Calibri" w:hAnsi="Calibri" w:cs="Calibri"/>
                <w:b/>
                <w:sz w:val="20"/>
                <w:szCs w:val="20"/>
              </w:rPr>
            </w:pPr>
            <w:r w:rsidRPr="000C120C">
              <w:rPr>
                <w:rFonts w:ascii="Calibri" w:hAnsi="Calibri" w:cs="Calibri"/>
                <w:b/>
                <w:sz w:val="20"/>
                <w:szCs w:val="20"/>
              </w:rPr>
              <w:t xml:space="preserve">Algebra, Geometry, Algebra II &amp; Trigonometry, </w:t>
            </w:r>
            <w:r w:rsidRPr="000C120C">
              <w:rPr>
                <w:rFonts w:ascii="Calibri" w:hAnsi="Calibri" w:cs="Calibri"/>
                <w:b/>
                <w:sz w:val="20"/>
                <w:szCs w:val="20"/>
                <w:u w:val="single"/>
              </w:rPr>
              <w:t xml:space="preserve">and </w:t>
            </w:r>
          </w:p>
          <w:p w:rsidR="005F5A24" w:rsidRPr="005F5A24" w:rsidRDefault="005F5A24" w:rsidP="00937B75">
            <w:pPr>
              <w:ind w:left="576"/>
              <w:rPr>
                <w:rFonts w:ascii="Calibri" w:hAnsi="Calibri" w:cs="Calibri"/>
                <w:b/>
                <w:sz w:val="20"/>
                <w:szCs w:val="20"/>
              </w:rPr>
            </w:pPr>
            <w:r w:rsidRPr="000C120C">
              <w:rPr>
                <w:rFonts w:ascii="Calibri" w:hAnsi="Calibri" w:cs="Calibri"/>
                <w:b/>
                <w:sz w:val="20"/>
                <w:szCs w:val="20"/>
              </w:rPr>
              <w:t>Pre-calculus with an average &lt; 80</w:t>
            </w:r>
          </w:p>
        </w:tc>
        <w:tc>
          <w:tcPr>
            <w:tcW w:w="1869" w:type="pct"/>
          </w:tcPr>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MATH 125</w:t>
            </w:r>
          </w:p>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or</w:t>
            </w:r>
          </w:p>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MATH 131</w:t>
            </w:r>
          </w:p>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(depending on major – see next page)</w:t>
            </w:r>
          </w:p>
        </w:tc>
      </w:tr>
      <w:tr w:rsidR="005F5A24" w:rsidRPr="005F5A24" w:rsidTr="00937B75">
        <w:trPr>
          <w:trHeight w:val="1520"/>
        </w:trPr>
        <w:tc>
          <w:tcPr>
            <w:tcW w:w="3131" w:type="pct"/>
          </w:tcPr>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3 years including:</w:t>
            </w:r>
          </w:p>
          <w:p w:rsidR="005F5A24" w:rsidRPr="000C120C" w:rsidRDefault="005F5A24" w:rsidP="00937B75">
            <w:pPr>
              <w:ind w:left="576"/>
              <w:rPr>
                <w:rFonts w:ascii="Calibri" w:hAnsi="Calibri" w:cs="Calibri"/>
                <w:b/>
                <w:sz w:val="20"/>
                <w:szCs w:val="20"/>
              </w:rPr>
            </w:pPr>
            <w:r w:rsidRPr="000C120C">
              <w:rPr>
                <w:rFonts w:ascii="Calibri" w:hAnsi="Calibri" w:cs="Calibri"/>
                <w:b/>
                <w:sz w:val="20"/>
                <w:szCs w:val="20"/>
              </w:rPr>
              <w:t xml:space="preserve">Algebra, Geometry, </w:t>
            </w:r>
            <w:r w:rsidRPr="000C120C">
              <w:rPr>
                <w:rFonts w:ascii="Calibri" w:hAnsi="Calibri" w:cs="Calibri"/>
                <w:b/>
                <w:sz w:val="20"/>
                <w:szCs w:val="20"/>
                <w:u w:val="single"/>
              </w:rPr>
              <w:t xml:space="preserve">and </w:t>
            </w:r>
          </w:p>
          <w:p w:rsidR="005F5A24" w:rsidRPr="005F5A24" w:rsidRDefault="005F5A24" w:rsidP="00937B75">
            <w:pPr>
              <w:ind w:left="576"/>
              <w:rPr>
                <w:rFonts w:ascii="Calibri" w:hAnsi="Calibri" w:cs="Calibri"/>
                <w:b/>
                <w:sz w:val="20"/>
                <w:szCs w:val="20"/>
              </w:rPr>
            </w:pPr>
            <w:r w:rsidRPr="000C120C">
              <w:rPr>
                <w:rFonts w:ascii="Calibri" w:hAnsi="Calibri" w:cs="Calibri"/>
                <w:b/>
                <w:sz w:val="20"/>
                <w:szCs w:val="20"/>
              </w:rPr>
              <w:t>Algebra II &amp; Trigonometry with an average &gt; 80</w:t>
            </w:r>
          </w:p>
        </w:tc>
        <w:tc>
          <w:tcPr>
            <w:tcW w:w="1869" w:type="pct"/>
          </w:tcPr>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MATH 125</w:t>
            </w:r>
          </w:p>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or</w:t>
            </w:r>
          </w:p>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MATH 131</w:t>
            </w:r>
          </w:p>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(depending on major – see next page)</w:t>
            </w:r>
          </w:p>
        </w:tc>
      </w:tr>
      <w:tr w:rsidR="005F5A24" w:rsidRPr="005F5A24" w:rsidTr="00937B75">
        <w:trPr>
          <w:trHeight w:val="1655"/>
        </w:trPr>
        <w:tc>
          <w:tcPr>
            <w:tcW w:w="3131" w:type="pct"/>
          </w:tcPr>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3 years including:</w:t>
            </w:r>
          </w:p>
          <w:p w:rsidR="005F5A24" w:rsidRPr="000C120C" w:rsidRDefault="005F5A24" w:rsidP="00937B75">
            <w:pPr>
              <w:ind w:left="576"/>
              <w:rPr>
                <w:rFonts w:ascii="Calibri" w:hAnsi="Calibri" w:cs="Calibri"/>
                <w:b/>
                <w:sz w:val="20"/>
                <w:szCs w:val="20"/>
              </w:rPr>
            </w:pPr>
            <w:r w:rsidRPr="000C120C">
              <w:rPr>
                <w:rFonts w:ascii="Calibri" w:hAnsi="Calibri" w:cs="Calibri"/>
                <w:b/>
                <w:sz w:val="20"/>
                <w:szCs w:val="20"/>
              </w:rPr>
              <w:t xml:space="preserve">Algebra, Geometry, </w:t>
            </w:r>
            <w:r w:rsidRPr="000C120C">
              <w:rPr>
                <w:rFonts w:ascii="Calibri" w:hAnsi="Calibri" w:cs="Calibri"/>
                <w:b/>
                <w:sz w:val="20"/>
                <w:szCs w:val="20"/>
                <w:u w:val="single"/>
              </w:rPr>
              <w:t>and</w:t>
            </w:r>
            <w:r w:rsidRPr="000C120C">
              <w:rPr>
                <w:rFonts w:ascii="Calibri" w:hAnsi="Calibri" w:cs="Calibri"/>
                <w:b/>
                <w:sz w:val="20"/>
                <w:szCs w:val="20"/>
              </w:rPr>
              <w:t xml:space="preserve"> </w:t>
            </w:r>
          </w:p>
          <w:p w:rsidR="005F5A24" w:rsidRPr="005F5A24" w:rsidRDefault="005F5A24" w:rsidP="00937B75">
            <w:pPr>
              <w:ind w:left="576"/>
              <w:rPr>
                <w:rFonts w:ascii="Calibri" w:hAnsi="Calibri" w:cs="Calibri"/>
                <w:b/>
                <w:sz w:val="20"/>
                <w:szCs w:val="20"/>
              </w:rPr>
            </w:pPr>
            <w:r w:rsidRPr="000C120C">
              <w:rPr>
                <w:rFonts w:ascii="Calibri" w:hAnsi="Calibri" w:cs="Calibri"/>
                <w:b/>
                <w:sz w:val="20"/>
                <w:szCs w:val="20"/>
              </w:rPr>
              <w:t>Algebra II &amp; Trigonometry with an average &lt; 80</w:t>
            </w:r>
          </w:p>
        </w:tc>
        <w:tc>
          <w:tcPr>
            <w:tcW w:w="1869" w:type="pct"/>
          </w:tcPr>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MATH 111</w:t>
            </w:r>
          </w:p>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or MATH 112</w:t>
            </w:r>
          </w:p>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 xml:space="preserve">or MATH 125 </w:t>
            </w:r>
          </w:p>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(if required for major – see next page)</w:t>
            </w:r>
          </w:p>
        </w:tc>
      </w:tr>
      <w:tr w:rsidR="005F5A24" w:rsidRPr="005F5A24" w:rsidTr="00937B75">
        <w:trPr>
          <w:trHeight w:val="1925"/>
        </w:trPr>
        <w:tc>
          <w:tcPr>
            <w:tcW w:w="3131" w:type="pct"/>
          </w:tcPr>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2 years including:</w:t>
            </w:r>
          </w:p>
          <w:p w:rsidR="005F5A24" w:rsidRPr="000C120C" w:rsidRDefault="005F5A24" w:rsidP="00937B75">
            <w:pPr>
              <w:ind w:left="576"/>
              <w:rPr>
                <w:rFonts w:ascii="Calibri" w:hAnsi="Calibri" w:cs="Calibri"/>
                <w:b/>
                <w:sz w:val="20"/>
                <w:szCs w:val="20"/>
              </w:rPr>
            </w:pPr>
            <w:r w:rsidRPr="000C120C">
              <w:rPr>
                <w:rFonts w:ascii="Calibri" w:hAnsi="Calibri" w:cs="Calibri"/>
                <w:b/>
                <w:sz w:val="20"/>
                <w:szCs w:val="20"/>
              </w:rPr>
              <w:t xml:space="preserve">Algebra </w:t>
            </w:r>
            <w:r w:rsidRPr="000C120C">
              <w:rPr>
                <w:rFonts w:ascii="Calibri" w:hAnsi="Calibri" w:cs="Calibri"/>
                <w:b/>
                <w:sz w:val="20"/>
                <w:szCs w:val="20"/>
                <w:u w:val="single"/>
              </w:rPr>
              <w:t xml:space="preserve">and </w:t>
            </w:r>
          </w:p>
          <w:p w:rsidR="005F5A24" w:rsidRPr="005F5A24" w:rsidRDefault="005F5A24" w:rsidP="00937B75">
            <w:pPr>
              <w:ind w:left="576"/>
              <w:rPr>
                <w:rFonts w:ascii="Calibri" w:hAnsi="Calibri" w:cs="Calibri"/>
                <w:b/>
                <w:sz w:val="20"/>
                <w:szCs w:val="20"/>
              </w:rPr>
            </w:pPr>
            <w:r w:rsidRPr="000C120C">
              <w:rPr>
                <w:rFonts w:ascii="Calibri" w:hAnsi="Calibri" w:cs="Calibri"/>
                <w:b/>
                <w:sz w:val="20"/>
                <w:szCs w:val="20"/>
              </w:rPr>
              <w:t>Geometry with an average &gt; 80</w:t>
            </w:r>
          </w:p>
        </w:tc>
        <w:tc>
          <w:tcPr>
            <w:tcW w:w="1869" w:type="pct"/>
          </w:tcPr>
          <w:p w:rsidR="005F5A24" w:rsidRPr="005F5A24" w:rsidRDefault="005F5A24" w:rsidP="00937B75">
            <w:pPr>
              <w:ind w:left="576"/>
              <w:rPr>
                <w:rFonts w:ascii="Calibri" w:hAnsi="Calibri" w:cs="Calibri"/>
                <w:b/>
                <w:sz w:val="20"/>
                <w:szCs w:val="20"/>
              </w:rPr>
            </w:pPr>
          </w:p>
          <w:p w:rsidR="005F5A24" w:rsidRPr="005F5A24" w:rsidRDefault="005F5A24" w:rsidP="00937B75">
            <w:pPr>
              <w:ind w:left="576"/>
              <w:rPr>
                <w:rFonts w:ascii="Calibri" w:hAnsi="Calibri" w:cs="Calibri"/>
                <w:b/>
                <w:sz w:val="20"/>
                <w:szCs w:val="20"/>
              </w:rPr>
            </w:pPr>
          </w:p>
          <w:p w:rsidR="005F5A24" w:rsidRPr="005F5A24" w:rsidRDefault="005F5A24" w:rsidP="00937B75">
            <w:pPr>
              <w:ind w:left="576"/>
              <w:rPr>
                <w:rFonts w:ascii="Calibri" w:hAnsi="Calibri" w:cs="Calibri"/>
                <w:b/>
                <w:sz w:val="20"/>
                <w:szCs w:val="20"/>
              </w:rPr>
            </w:pPr>
          </w:p>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MATH 111</w:t>
            </w:r>
          </w:p>
        </w:tc>
      </w:tr>
      <w:tr w:rsidR="005F5A24" w:rsidRPr="005F5A24" w:rsidTr="00937B75">
        <w:trPr>
          <w:trHeight w:val="2150"/>
        </w:trPr>
        <w:tc>
          <w:tcPr>
            <w:tcW w:w="3131" w:type="pct"/>
            <w:tcBorders>
              <w:top w:val="single" w:sz="4" w:space="0" w:color="auto"/>
              <w:left w:val="single" w:sz="4" w:space="0" w:color="auto"/>
              <w:bottom w:val="single" w:sz="4" w:space="0" w:color="auto"/>
              <w:right w:val="single" w:sz="4" w:space="0" w:color="auto"/>
            </w:tcBorders>
          </w:tcPr>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0-2 years including any of the following:</w:t>
            </w:r>
          </w:p>
          <w:p w:rsidR="005F5A24" w:rsidRPr="000C120C" w:rsidRDefault="005F5A24" w:rsidP="00937B75">
            <w:pPr>
              <w:ind w:left="576"/>
              <w:rPr>
                <w:rFonts w:ascii="Calibri" w:hAnsi="Calibri" w:cs="Calibri"/>
                <w:b/>
                <w:sz w:val="20"/>
                <w:szCs w:val="20"/>
              </w:rPr>
            </w:pPr>
            <w:r w:rsidRPr="000C120C">
              <w:rPr>
                <w:rFonts w:ascii="Calibri" w:hAnsi="Calibri" w:cs="Calibri"/>
                <w:b/>
                <w:sz w:val="20"/>
                <w:szCs w:val="20"/>
              </w:rPr>
              <w:t>Algebra and Geometry with an average &lt; 80</w:t>
            </w:r>
          </w:p>
          <w:p w:rsidR="005F5A24" w:rsidRPr="000C120C" w:rsidRDefault="005F5A24" w:rsidP="00937B75">
            <w:pPr>
              <w:ind w:left="576"/>
              <w:rPr>
                <w:rFonts w:ascii="Calibri" w:hAnsi="Calibri" w:cs="Calibri"/>
                <w:b/>
                <w:sz w:val="20"/>
                <w:szCs w:val="20"/>
              </w:rPr>
            </w:pPr>
          </w:p>
          <w:p w:rsidR="005F5A24" w:rsidRPr="005F5A24" w:rsidRDefault="005F5A24" w:rsidP="00937B75">
            <w:pPr>
              <w:ind w:left="576"/>
              <w:rPr>
                <w:rFonts w:ascii="Calibri" w:hAnsi="Calibri" w:cs="Calibri"/>
                <w:b/>
                <w:sz w:val="20"/>
                <w:szCs w:val="20"/>
              </w:rPr>
            </w:pPr>
            <w:r w:rsidRPr="000C120C">
              <w:rPr>
                <w:rFonts w:ascii="Calibri" w:hAnsi="Calibri" w:cs="Calibri"/>
                <w:b/>
                <w:sz w:val="20"/>
                <w:szCs w:val="20"/>
              </w:rPr>
              <w:t>Technical Math, Applied Math, or any other course outside of the NYS sequence</w:t>
            </w:r>
          </w:p>
        </w:tc>
        <w:tc>
          <w:tcPr>
            <w:tcW w:w="1869" w:type="pct"/>
            <w:tcBorders>
              <w:top w:val="single" w:sz="4" w:space="0" w:color="auto"/>
              <w:left w:val="single" w:sz="4" w:space="0" w:color="auto"/>
              <w:bottom w:val="single" w:sz="4" w:space="0" w:color="auto"/>
              <w:right w:val="single" w:sz="4" w:space="0" w:color="auto"/>
            </w:tcBorders>
          </w:tcPr>
          <w:p w:rsidR="005F5A24" w:rsidRPr="005F5A24" w:rsidRDefault="005F5A24" w:rsidP="00937B75">
            <w:pPr>
              <w:ind w:left="576"/>
              <w:rPr>
                <w:rFonts w:ascii="Calibri" w:hAnsi="Calibri" w:cs="Calibri"/>
                <w:b/>
                <w:sz w:val="20"/>
                <w:szCs w:val="20"/>
              </w:rPr>
            </w:pPr>
          </w:p>
          <w:p w:rsidR="005F5A24" w:rsidRPr="005F5A24" w:rsidRDefault="005F5A24" w:rsidP="00937B75">
            <w:pPr>
              <w:ind w:left="576"/>
              <w:rPr>
                <w:rFonts w:ascii="Calibri" w:hAnsi="Calibri" w:cs="Calibri"/>
                <w:b/>
                <w:sz w:val="20"/>
                <w:szCs w:val="20"/>
              </w:rPr>
            </w:pPr>
          </w:p>
          <w:p w:rsidR="005F5A24" w:rsidRPr="005F5A24" w:rsidRDefault="005F5A24" w:rsidP="00937B75">
            <w:pPr>
              <w:ind w:left="576"/>
              <w:rPr>
                <w:rFonts w:ascii="Calibri" w:hAnsi="Calibri" w:cs="Calibri"/>
                <w:b/>
                <w:sz w:val="20"/>
                <w:szCs w:val="20"/>
              </w:rPr>
            </w:pPr>
          </w:p>
          <w:p w:rsidR="005F5A24" w:rsidRPr="005F5A24" w:rsidRDefault="005F5A24" w:rsidP="00937B75">
            <w:pPr>
              <w:ind w:left="576"/>
              <w:rPr>
                <w:rFonts w:ascii="Calibri" w:hAnsi="Calibri" w:cs="Calibri"/>
                <w:b/>
                <w:sz w:val="20"/>
                <w:szCs w:val="20"/>
              </w:rPr>
            </w:pPr>
            <w:r w:rsidRPr="005F5A24">
              <w:rPr>
                <w:rFonts w:ascii="Calibri" w:hAnsi="Calibri" w:cs="Calibri"/>
                <w:b/>
                <w:sz w:val="20"/>
                <w:szCs w:val="20"/>
              </w:rPr>
              <w:t>MATH 101</w:t>
            </w:r>
          </w:p>
        </w:tc>
      </w:tr>
    </w:tbl>
    <w:p w:rsidR="005F5A24" w:rsidRDefault="005F5A24" w:rsidP="005F5A24">
      <w:pPr>
        <w:ind w:left="576"/>
        <w:rPr>
          <w:b/>
        </w:rPr>
      </w:pPr>
    </w:p>
    <w:p w:rsidR="005F5A24" w:rsidRPr="000C120C" w:rsidRDefault="005F5A24" w:rsidP="005F5A24">
      <w:pPr>
        <w:ind w:left="720"/>
        <w:rPr>
          <w:szCs w:val="32"/>
          <w:u w:val="single"/>
        </w:rPr>
      </w:pPr>
      <w:r w:rsidRPr="000C120C">
        <w:rPr>
          <w:szCs w:val="32"/>
          <w:u w:val="single"/>
        </w:rPr>
        <w:t>List of majors that require Math 125</w:t>
      </w:r>
    </w:p>
    <w:p w:rsidR="005F5A24" w:rsidRDefault="005F5A24" w:rsidP="005F5A24">
      <w:pPr>
        <w:ind w:left="720"/>
      </w:pPr>
    </w:p>
    <w:p w:rsidR="005F5A24" w:rsidRPr="00957381" w:rsidRDefault="005F5A24" w:rsidP="005F5A24">
      <w:pPr>
        <w:ind w:left="720"/>
      </w:pPr>
      <w:r w:rsidRPr="00957381">
        <w:t>Associate in Science- Business Adm</w:t>
      </w:r>
      <w:r>
        <w:t>inistration</w:t>
      </w:r>
    </w:p>
    <w:p w:rsidR="005F5A24" w:rsidRPr="00957381" w:rsidRDefault="005F5A24" w:rsidP="005F5A24">
      <w:pPr>
        <w:ind w:left="720"/>
      </w:pPr>
      <w:r w:rsidRPr="00957381">
        <w:t>Associate in Science -Communication</w:t>
      </w:r>
      <w:r>
        <w:t xml:space="preserve"> (Math 125 or Math 111)</w:t>
      </w:r>
    </w:p>
    <w:p w:rsidR="005F5A24" w:rsidRPr="00957381" w:rsidRDefault="005F5A24" w:rsidP="005F5A24">
      <w:pPr>
        <w:ind w:left="720"/>
      </w:pPr>
      <w:r w:rsidRPr="00957381">
        <w:t>Associate in Science- Health Scienc</w:t>
      </w:r>
      <w:r>
        <w:t>es</w:t>
      </w:r>
    </w:p>
    <w:p w:rsidR="005F5A24" w:rsidRDefault="005F5A24" w:rsidP="005F5A24">
      <w:pPr>
        <w:ind w:left="720"/>
      </w:pPr>
      <w:r w:rsidRPr="00957381">
        <w:t>Associate in Science- Scien</w:t>
      </w:r>
      <w:r>
        <w:t>ce</w:t>
      </w:r>
    </w:p>
    <w:p w:rsidR="005F5A24" w:rsidRPr="00957381" w:rsidRDefault="005F5A24" w:rsidP="005F5A24">
      <w:pPr>
        <w:ind w:left="720"/>
      </w:pPr>
      <w:r>
        <w:t>Associate in Science - Biotechnology</w:t>
      </w:r>
    </w:p>
    <w:p w:rsidR="005F5A24" w:rsidRPr="00957381" w:rsidRDefault="005F5A24" w:rsidP="005F5A24">
      <w:pPr>
        <w:ind w:left="720"/>
      </w:pPr>
    </w:p>
    <w:p w:rsidR="005F5A24" w:rsidRPr="00957381" w:rsidRDefault="005F5A24" w:rsidP="005F5A24">
      <w:pPr>
        <w:ind w:left="720"/>
      </w:pPr>
      <w:r w:rsidRPr="00957381">
        <w:t>Bachelor of Technology- Fisheries and</w:t>
      </w:r>
      <w:r>
        <w:t xml:space="preserve"> Aquaculture (Math 125 &amp; 225)</w:t>
      </w:r>
    </w:p>
    <w:p w:rsidR="005F5A24" w:rsidRPr="00957381" w:rsidRDefault="005F5A24" w:rsidP="005F5A24">
      <w:pPr>
        <w:ind w:left="720"/>
      </w:pPr>
      <w:r w:rsidRPr="00957381">
        <w:t>Bachelor of Technology- Wildlif</w:t>
      </w:r>
      <w:r>
        <w:t>e Management (Math 125 &amp; 225)</w:t>
      </w:r>
    </w:p>
    <w:p w:rsidR="005F5A24" w:rsidRDefault="005F5A24" w:rsidP="005F5A24">
      <w:pPr>
        <w:ind w:left="720"/>
      </w:pPr>
      <w:r w:rsidRPr="00957381">
        <w:t xml:space="preserve">Bachelor of Technology- Environmental Energy </w:t>
      </w:r>
      <w:r>
        <w:t>Technologies</w:t>
      </w:r>
    </w:p>
    <w:p w:rsidR="005F5A24" w:rsidRPr="00957381" w:rsidRDefault="005F5A24" w:rsidP="005F5A24">
      <w:pPr>
        <w:ind w:left="720"/>
      </w:pPr>
      <w:r w:rsidRPr="00957381">
        <w:t>Bachelor of Technology- Information Technology</w:t>
      </w:r>
    </w:p>
    <w:p w:rsidR="005F5A24" w:rsidRPr="00957381" w:rsidRDefault="005F5A24" w:rsidP="005F5A24">
      <w:pPr>
        <w:ind w:left="720"/>
      </w:pPr>
      <w:r w:rsidRPr="00957381">
        <w:t>Bachelor of Business Ad</w:t>
      </w:r>
      <w:r>
        <w:t xml:space="preserve">ministration </w:t>
      </w:r>
    </w:p>
    <w:p w:rsidR="005F5A24" w:rsidRPr="00957381" w:rsidRDefault="005F5A24" w:rsidP="005F5A24">
      <w:pPr>
        <w:ind w:left="720"/>
      </w:pPr>
      <w:r w:rsidRPr="00957381">
        <w:t>Bachelor of Financ</w:t>
      </w:r>
      <w:r>
        <w:t xml:space="preserve">ial Services </w:t>
      </w:r>
    </w:p>
    <w:p w:rsidR="005F5A24" w:rsidRPr="00957381" w:rsidRDefault="005F5A24" w:rsidP="005F5A24">
      <w:pPr>
        <w:ind w:left="720"/>
      </w:pPr>
      <w:r w:rsidRPr="00957381">
        <w:t>Bachelor of Business Administration- C</w:t>
      </w:r>
      <w:r>
        <w:t>ulinary Arts</w:t>
      </w:r>
    </w:p>
    <w:p w:rsidR="005F5A24" w:rsidRPr="00957381" w:rsidRDefault="005F5A24" w:rsidP="005F5A24">
      <w:pPr>
        <w:ind w:left="720"/>
      </w:pPr>
      <w:r w:rsidRPr="00957381">
        <w:t>Bachelor of Science -Biotechnolo</w:t>
      </w:r>
      <w:r>
        <w:t xml:space="preserve">gy </w:t>
      </w:r>
    </w:p>
    <w:p w:rsidR="005F5A24" w:rsidRPr="00957381" w:rsidRDefault="005F5A24" w:rsidP="005F5A24">
      <w:pPr>
        <w:ind w:left="720"/>
      </w:pPr>
      <w:r w:rsidRPr="00957381">
        <w:t>Bachelor of Sc</w:t>
      </w:r>
      <w:r>
        <w:t xml:space="preserve">ience- Ag Business </w:t>
      </w:r>
      <w:proofErr w:type="spellStart"/>
      <w:r>
        <w:t>Mgmt</w:t>
      </w:r>
      <w:proofErr w:type="spellEnd"/>
    </w:p>
    <w:p w:rsidR="005F5A24" w:rsidRDefault="00D67837" w:rsidP="005F5A24">
      <w:pPr>
        <w:ind w:left="576"/>
        <w:rPr>
          <w:b/>
        </w:rPr>
      </w:pPr>
      <w:r>
        <w:rPr>
          <w:noProof/>
        </w:rPr>
        <mc:AlternateContent>
          <mc:Choice Requires="wps">
            <w:drawing>
              <wp:anchor distT="0" distB="0" distL="114300" distR="114300" simplePos="0" relativeHeight="251657728" behindDoc="0" locked="0" layoutInCell="1" allowOverlap="1">
                <wp:simplePos x="0" y="0"/>
                <wp:positionH relativeFrom="column">
                  <wp:posOffset>449580</wp:posOffset>
                </wp:positionH>
                <wp:positionV relativeFrom="paragraph">
                  <wp:posOffset>133985</wp:posOffset>
                </wp:positionV>
                <wp:extent cx="4257675" cy="4167505"/>
                <wp:effectExtent l="11430" t="13970" r="762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4167505"/>
                        </a:xfrm>
                        <a:prstGeom prst="rect">
                          <a:avLst/>
                        </a:prstGeom>
                        <a:solidFill>
                          <a:srgbClr val="FFFFFF"/>
                        </a:solidFill>
                        <a:ln w="9525">
                          <a:solidFill>
                            <a:srgbClr val="000000"/>
                          </a:solidFill>
                          <a:miter lim="800000"/>
                          <a:headEnd/>
                          <a:tailEnd/>
                        </a:ln>
                      </wps:spPr>
                      <wps:txbx>
                        <w:txbxContent>
                          <w:p w:rsidR="00071771" w:rsidRPr="00277C09" w:rsidRDefault="00071771" w:rsidP="005F5A24">
                            <w:pPr>
                              <w:tabs>
                                <w:tab w:val="left" w:pos="-720"/>
                              </w:tabs>
                              <w:suppressAutoHyphens/>
                              <w:spacing w:line="240" w:lineRule="atLeast"/>
                              <w:jc w:val="center"/>
                              <w:rPr>
                                <w:sz w:val="36"/>
                                <w:szCs w:val="36"/>
                                <w:u w:val="single"/>
                              </w:rPr>
                            </w:pPr>
                            <w:r w:rsidRPr="00951793">
                              <w:rPr>
                                <w:sz w:val="36"/>
                                <w:szCs w:val="36"/>
                                <w:u w:val="single"/>
                              </w:rPr>
                              <w:t>General Notes</w:t>
                            </w:r>
                          </w:p>
                          <w:p w:rsidR="00071771" w:rsidRPr="00431353" w:rsidRDefault="00071771" w:rsidP="005F5A24">
                            <w:pPr>
                              <w:tabs>
                                <w:tab w:val="left" w:pos="-720"/>
                              </w:tabs>
                              <w:suppressAutoHyphens/>
                              <w:spacing w:line="240" w:lineRule="atLeast"/>
                              <w:jc w:val="both"/>
                            </w:pPr>
                            <w:r w:rsidRPr="00431353">
                              <w:t>(1) There is currently a trend to “underplace” students in lower math courses just to get easy credits.  Students should be challenged in math just as they would be in any other field.  Recommend the highest placement possible.</w:t>
                            </w:r>
                          </w:p>
                          <w:p w:rsidR="00071771" w:rsidRPr="00431353" w:rsidRDefault="00071771" w:rsidP="005F5A24">
                            <w:pPr>
                              <w:tabs>
                                <w:tab w:val="left" w:pos="-720"/>
                              </w:tabs>
                              <w:suppressAutoHyphens/>
                              <w:spacing w:line="240" w:lineRule="atLeast"/>
                              <w:jc w:val="both"/>
                            </w:pPr>
                          </w:p>
                          <w:p w:rsidR="00071771" w:rsidRPr="00431353" w:rsidRDefault="00071771" w:rsidP="005F5A24">
                            <w:pPr>
                              <w:tabs>
                                <w:tab w:val="left" w:pos="-720"/>
                              </w:tabs>
                              <w:suppressAutoHyphens/>
                              <w:spacing w:line="240" w:lineRule="atLeast"/>
                              <w:jc w:val="both"/>
                            </w:pPr>
                            <w:r w:rsidRPr="00431353">
                              <w:t>(2) Statistics (Math 125) is a viable placement option for students who could be placed either way (111 or 125).  Consider their major (list on left) in making that determination.</w:t>
                            </w:r>
                          </w:p>
                          <w:p w:rsidR="00071771" w:rsidRPr="00431353" w:rsidRDefault="00071771" w:rsidP="005F5A24">
                            <w:pPr>
                              <w:tabs>
                                <w:tab w:val="left" w:pos="-720"/>
                              </w:tabs>
                              <w:suppressAutoHyphens/>
                              <w:spacing w:line="240" w:lineRule="atLeast"/>
                              <w:jc w:val="both"/>
                            </w:pPr>
                          </w:p>
                          <w:p w:rsidR="00071771" w:rsidRDefault="00071771" w:rsidP="005F5A24">
                            <w:pPr>
                              <w:tabs>
                                <w:tab w:val="left" w:pos="-720"/>
                              </w:tabs>
                              <w:suppressAutoHyphens/>
                              <w:spacing w:line="240" w:lineRule="atLeast"/>
                              <w:jc w:val="both"/>
                            </w:pPr>
                            <w:r w:rsidRPr="00431353">
                              <w:t>(3) Math 112 (College Algebra &amp; Trigonometry) is a good option for stronger students in lieu of Math 111, especially if they are continuing to pre-calculus here or planning to take certain graduate programs that require the calculus seq</w:t>
                            </w:r>
                            <w:r>
                              <w:t>uence (F&amp;W, Business, Animal Science (Pre-Vet), etc.</w:t>
                            </w:r>
                          </w:p>
                          <w:p w:rsidR="00071771" w:rsidRDefault="00071771" w:rsidP="005F5A24">
                            <w:pPr>
                              <w:tabs>
                                <w:tab w:val="left" w:pos="-720"/>
                              </w:tabs>
                              <w:suppressAutoHyphens/>
                              <w:spacing w:line="240" w:lineRule="atLeast"/>
                              <w:jc w:val="both"/>
                            </w:pPr>
                          </w:p>
                          <w:p w:rsidR="00071771" w:rsidRPr="00431353" w:rsidRDefault="00071771" w:rsidP="005F5A24">
                            <w:pPr>
                              <w:tabs>
                                <w:tab w:val="left" w:pos="-720"/>
                              </w:tabs>
                              <w:suppressAutoHyphens/>
                              <w:spacing w:line="240" w:lineRule="atLeast"/>
                              <w:jc w:val="both"/>
                            </w:pPr>
                            <w:r>
                              <w:t>(4) Math sections can be offered in different formats such as completely online (OL); computer-based learning (CB) in which students interact with software in the classroom; hybrid formats (HY) which are partially in class and partially online.  Make sure students know about these different formats.  The designations are listed next to courses on the master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4pt;margin-top:10.55pt;width:335.25pt;height:32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">
                <v:textbox>
                  <w:txbxContent>
                    <w:p w:rsidR="00071771" w:rsidRPr="00277C09" w:rsidRDefault="00071771" w:rsidP="005F5A24">
                      <w:pPr>
                        <w:tabs>
                          <w:tab w:val="left" w:pos="-720"/>
                        </w:tabs>
                        <w:suppressAutoHyphens/>
                        <w:spacing w:line="240" w:lineRule="atLeast"/>
                        <w:jc w:val="center"/>
                        <w:rPr>
                          <w:sz w:val="36"/>
                          <w:szCs w:val="36"/>
                          <w:u w:val="single"/>
                        </w:rPr>
                      </w:pPr>
                      <w:r w:rsidRPr="00951793">
                        <w:rPr>
                          <w:sz w:val="36"/>
                          <w:szCs w:val="36"/>
                          <w:u w:val="single"/>
                        </w:rPr>
                        <w:t>General Notes</w:t>
                      </w:r>
                    </w:p>
                    <w:p w:rsidR="00071771" w:rsidRPr="00431353" w:rsidRDefault="00071771" w:rsidP="005F5A24">
                      <w:pPr>
                        <w:tabs>
                          <w:tab w:val="left" w:pos="-720"/>
                        </w:tabs>
                        <w:suppressAutoHyphens/>
                        <w:spacing w:line="240" w:lineRule="atLeast"/>
                        <w:jc w:val="both"/>
                      </w:pPr>
                      <w:r w:rsidRPr="00431353">
                        <w:t>(1) There is currently a trend to “underplace” students in lower math courses just to get easy credits.  Students should be challenged in math just as they would be in any other field.  Recommend the highest placement possible.</w:t>
                      </w:r>
                    </w:p>
                    <w:p w:rsidR="00071771" w:rsidRPr="00431353" w:rsidRDefault="00071771" w:rsidP="005F5A24">
                      <w:pPr>
                        <w:tabs>
                          <w:tab w:val="left" w:pos="-720"/>
                        </w:tabs>
                        <w:suppressAutoHyphens/>
                        <w:spacing w:line="240" w:lineRule="atLeast"/>
                        <w:jc w:val="both"/>
                      </w:pPr>
                    </w:p>
                    <w:p w:rsidR="00071771" w:rsidRPr="00431353" w:rsidRDefault="00071771" w:rsidP="005F5A24">
                      <w:pPr>
                        <w:tabs>
                          <w:tab w:val="left" w:pos="-720"/>
                        </w:tabs>
                        <w:suppressAutoHyphens/>
                        <w:spacing w:line="240" w:lineRule="atLeast"/>
                        <w:jc w:val="both"/>
                      </w:pPr>
                      <w:r w:rsidRPr="00431353">
                        <w:t>(2) Statistics (Math 125) is a viable placement option for students who could be placed either way (111 or 125).  Consider their major (list on left) in making that determination.</w:t>
                      </w:r>
                    </w:p>
                    <w:p w:rsidR="00071771" w:rsidRPr="00431353" w:rsidRDefault="00071771" w:rsidP="005F5A24">
                      <w:pPr>
                        <w:tabs>
                          <w:tab w:val="left" w:pos="-720"/>
                        </w:tabs>
                        <w:suppressAutoHyphens/>
                        <w:spacing w:line="240" w:lineRule="atLeast"/>
                        <w:jc w:val="both"/>
                      </w:pPr>
                    </w:p>
                    <w:p w:rsidR="00071771" w:rsidRDefault="00071771" w:rsidP="005F5A24">
                      <w:pPr>
                        <w:tabs>
                          <w:tab w:val="left" w:pos="-720"/>
                        </w:tabs>
                        <w:suppressAutoHyphens/>
                        <w:spacing w:line="240" w:lineRule="atLeast"/>
                        <w:jc w:val="both"/>
                      </w:pPr>
                      <w:r w:rsidRPr="00431353">
                        <w:t>(3) Math 112 (College Algebra &amp; Trigonometry) is a good option for stronger students in lieu of Math 111, especially if they are continuing to pre-calculus here or planning to take certain graduate programs that require the calculus seq</w:t>
                      </w:r>
                      <w:r>
                        <w:t>uence (F&amp;W, Business, Animal Science (Pre-Vet), etc.</w:t>
                      </w:r>
                    </w:p>
                    <w:p w:rsidR="00071771" w:rsidRDefault="00071771" w:rsidP="005F5A24">
                      <w:pPr>
                        <w:tabs>
                          <w:tab w:val="left" w:pos="-720"/>
                        </w:tabs>
                        <w:suppressAutoHyphens/>
                        <w:spacing w:line="240" w:lineRule="atLeast"/>
                        <w:jc w:val="both"/>
                      </w:pPr>
                    </w:p>
                    <w:p w:rsidR="00071771" w:rsidRPr="00431353" w:rsidRDefault="00071771" w:rsidP="005F5A24">
                      <w:pPr>
                        <w:tabs>
                          <w:tab w:val="left" w:pos="-720"/>
                        </w:tabs>
                        <w:suppressAutoHyphens/>
                        <w:spacing w:line="240" w:lineRule="atLeast"/>
                        <w:jc w:val="both"/>
                      </w:pPr>
                      <w:r>
                        <w:t>(4) Math sections can be offered in different formats such as completely online (OL); computer-based learning (CB) in which students interact with software in the classroom; hybrid formats (HY) which are partially in class and partially online.  Make sure students know about these different formats.  The designations are listed next to courses on the master schedule.</w:t>
                      </w:r>
                    </w:p>
                  </w:txbxContent>
                </v:textbox>
              </v:shape>
            </w:pict>
          </mc:Fallback>
        </mc:AlternateContent>
      </w: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Default="005F5A24" w:rsidP="005F5A24">
      <w:pPr>
        <w:ind w:left="576"/>
        <w:rPr>
          <w:b/>
        </w:rPr>
      </w:pPr>
    </w:p>
    <w:p w:rsidR="005F5A24" w:rsidRPr="000C120C" w:rsidRDefault="005F5A24" w:rsidP="005F5A24">
      <w:pPr>
        <w:jc w:val="center"/>
      </w:pPr>
      <w:r w:rsidRPr="005F5A24">
        <w:t>Table 13.  Criteria for English Course Placement.</w:t>
      </w:r>
    </w:p>
    <w:p w:rsidR="005F5A24" w:rsidRDefault="005F5A24" w:rsidP="005F5A24">
      <w:pPr>
        <w:rPr>
          <w:b/>
        </w:rPr>
      </w:pPr>
    </w:p>
    <w:tbl>
      <w:tblPr>
        <w:tblpPr w:leftFromText="180" w:rightFromText="180" w:vertAnchor="page"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634"/>
        <w:gridCol w:w="4834"/>
      </w:tblGrid>
      <w:tr w:rsidR="005F5A24" w:rsidRPr="00937B75" w:rsidTr="002439AB">
        <w:tc>
          <w:tcPr>
            <w:tcW w:w="1882" w:type="dxa"/>
            <w:tcBorders>
              <w:top w:val="single" w:sz="4" w:space="0" w:color="auto"/>
              <w:left w:val="single" w:sz="4" w:space="0" w:color="auto"/>
              <w:bottom w:val="single" w:sz="4" w:space="0" w:color="auto"/>
            </w:tcBorders>
            <w:shd w:val="clear" w:color="auto" w:fill="auto"/>
          </w:tcPr>
          <w:p w:rsidR="005F5A24" w:rsidRPr="00937B75" w:rsidRDefault="005F5A24" w:rsidP="00937B75">
            <w:pPr>
              <w:rPr>
                <w:rFonts w:ascii="Calibri" w:hAnsi="Calibri" w:cs="Calibri"/>
                <w:b/>
              </w:rPr>
            </w:pPr>
            <w:r w:rsidRPr="00937B75">
              <w:rPr>
                <w:rFonts w:ascii="Calibri" w:hAnsi="Calibri" w:cs="Calibri"/>
                <w:b/>
              </w:rPr>
              <w:lastRenderedPageBreak/>
              <w:t>Placement</w:t>
            </w:r>
          </w:p>
        </w:tc>
        <w:tc>
          <w:tcPr>
            <w:tcW w:w="2634" w:type="dxa"/>
            <w:tcBorders>
              <w:bottom w:val="single" w:sz="4" w:space="0" w:color="auto"/>
            </w:tcBorders>
            <w:shd w:val="clear" w:color="auto" w:fill="auto"/>
          </w:tcPr>
          <w:p w:rsidR="005F5A24" w:rsidRPr="00937B75" w:rsidRDefault="005F5A24" w:rsidP="00937B75">
            <w:pPr>
              <w:rPr>
                <w:rFonts w:ascii="Calibri" w:hAnsi="Calibri" w:cs="Calibri"/>
                <w:b/>
              </w:rPr>
            </w:pPr>
            <w:r w:rsidRPr="00937B75">
              <w:rPr>
                <w:rFonts w:ascii="Calibri" w:hAnsi="Calibri" w:cs="Calibri"/>
                <w:b/>
              </w:rPr>
              <w:t>Measure</w:t>
            </w:r>
          </w:p>
        </w:tc>
        <w:tc>
          <w:tcPr>
            <w:tcW w:w="4834" w:type="dxa"/>
            <w:tcBorders>
              <w:bottom w:val="single" w:sz="4" w:space="0" w:color="auto"/>
            </w:tcBorders>
            <w:shd w:val="clear" w:color="auto" w:fill="auto"/>
          </w:tcPr>
          <w:p w:rsidR="005F5A24" w:rsidRPr="00937B75" w:rsidRDefault="005F5A24" w:rsidP="00937B75">
            <w:pPr>
              <w:rPr>
                <w:rFonts w:ascii="Calibri" w:hAnsi="Calibri" w:cs="Calibri"/>
                <w:b/>
              </w:rPr>
            </w:pPr>
            <w:r w:rsidRPr="00937B75">
              <w:rPr>
                <w:rFonts w:ascii="Calibri" w:hAnsi="Calibri" w:cs="Calibri"/>
                <w:b/>
              </w:rPr>
              <w:t>Recommended Parameters</w:t>
            </w:r>
          </w:p>
        </w:tc>
      </w:tr>
      <w:tr w:rsidR="005F5A24" w:rsidRPr="00937B75" w:rsidTr="002439AB">
        <w:tc>
          <w:tcPr>
            <w:tcW w:w="1882" w:type="dxa"/>
            <w:shd w:val="pct25" w:color="auto" w:fill="auto"/>
          </w:tcPr>
          <w:p w:rsidR="005F5A24" w:rsidRPr="00937B75" w:rsidRDefault="005F5A24" w:rsidP="00937B75">
            <w:pPr>
              <w:rPr>
                <w:rFonts w:ascii="Calibri" w:hAnsi="Calibri" w:cs="Calibri"/>
                <w:b/>
              </w:rPr>
            </w:pPr>
          </w:p>
        </w:tc>
        <w:tc>
          <w:tcPr>
            <w:tcW w:w="2634" w:type="dxa"/>
            <w:shd w:val="pct25" w:color="auto" w:fill="auto"/>
          </w:tcPr>
          <w:p w:rsidR="005F5A24" w:rsidRPr="00937B75" w:rsidRDefault="005F5A24" w:rsidP="00937B75">
            <w:pPr>
              <w:rPr>
                <w:rFonts w:ascii="Calibri" w:hAnsi="Calibri" w:cs="Calibri"/>
              </w:rPr>
            </w:pPr>
          </w:p>
        </w:tc>
        <w:tc>
          <w:tcPr>
            <w:tcW w:w="4834" w:type="dxa"/>
            <w:shd w:val="pct25" w:color="auto" w:fill="auto"/>
          </w:tcPr>
          <w:p w:rsidR="005F5A24" w:rsidRPr="00937B75" w:rsidRDefault="005F5A24" w:rsidP="00937B75">
            <w:pPr>
              <w:rPr>
                <w:rFonts w:ascii="Calibri" w:hAnsi="Calibri" w:cs="Calibri"/>
              </w:rPr>
            </w:pPr>
          </w:p>
        </w:tc>
      </w:tr>
      <w:tr w:rsidR="005F5A24" w:rsidRPr="00937B75" w:rsidTr="002439AB">
        <w:tc>
          <w:tcPr>
            <w:tcW w:w="1882" w:type="dxa"/>
            <w:vMerge w:val="restart"/>
            <w:shd w:val="clear" w:color="auto" w:fill="auto"/>
            <w:vAlign w:val="center"/>
          </w:tcPr>
          <w:p w:rsidR="005F5A24" w:rsidRPr="00937B75" w:rsidRDefault="002439AB" w:rsidP="00937B75">
            <w:pPr>
              <w:jc w:val="center"/>
              <w:rPr>
                <w:rFonts w:ascii="Calibri" w:hAnsi="Calibri" w:cs="Calibri"/>
                <w:b/>
              </w:rPr>
            </w:pPr>
            <w:r>
              <w:rPr>
                <w:rFonts w:ascii="Calibri" w:hAnsi="Calibri" w:cs="Calibri"/>
                <w:b/>
              </w:rPr>
              <w:t>English 100</w:t>
            </w:r>
          </w:p>
        </w:tc>
        <w:tc>
          <w:tcPr>
            <w:tcW w:w="2634" w:type="dxa"/>
            <w:tcBorders>
              <w:bottom w:val="single" w:sz="4" w:space="0" w:color="auto"/>
            </w:tcBorders>
            <w:shd w:val="clear" w:color="auto" w:fill="auto"/>
          </w:tcPr>
          <w:p w:rsidR="005F5A24" w:rsidRPr="00937B75" w:rsidRDefault="005F5A24" w:rsidP="00937B75">
            <w:pPr>
              <w:rPr>
                <w:rFonts w:ascii="Calibri" w:hAnsi="Calibri" w:cs="Calibri"/>
              </w:rPr>
            </w:pPr>
            <w:r w:rsidRPr="00937B75">
              <w:rPr>
                <w:rFonts w:ascii="Calibri" w:hAnsi="Calibri" w:cs="Calibri"/>
              </w:rPr>
              <w:t>GPA</w:t>
            </w:r>
          </w:p>
        </w:tc>
        <w:tc>
          <w:tcPr>
            <w:tcW w:w="4834" w:type="dxa"/>
            <w:tcBorders>
              <w:bottom w:val="single" w:sz="4" w:space="0" w:color="auto"/>
            </w:tcBorders>
            <w:shd w:val="clear" w:color="auto" w:fill="auto"/>
          </w:tcPr>
          <w:p w:rsidR="005F5A24" w:rsidRPr="00937B75" w:rsidRDefault="005F5A24" w:rsidP="00937B75">
            <w:pPr>
              <w:rPr>
                <w:rFonts w:ascii="Calibri" w:hAnsi="Calibri" w:cs="Calibri"/>
                <w:b/>
              </w:rPr>
            </w:pPr>
            <w:r w:rsidRPr="00937B75">
              <w:rPr>
                <w:rFonts w:ascii="Calibri" w:hAnsi="Calibri" w:cs="Calibri"/>
                <w:color w:val="222222"/>
                <w:shd w:val="clear" w:color="auto" w:fill="FFFFFF"/>
              </w:rPr>
              <w:t>Less than or equal to</w:t>
            </w:r>
            <w:r w:rsidRPr="00937B75">
              <w:rPr>
                <w:rFonts w:ascii="Calibri" w:hAnsi="Calibri" w:cs="Calibri"/>
                <w:b/>
                <w:color w:val="222222"/>
                <w:shd w:val="clear" w:color="auto" w:fill="FFFFFF"/>
              </w:rPr>
              <w:t xml:space="preserve"> 79</w:t>
            </w:r>
          </w:p>
        </w:tc>
      </w:tr>
      <w:tr w:rsidR="005F5A24" w:rsidRPr="00937B75" w:rsidTr="002439AB">
        <w:tc>
          <w:tcPr>
            <w:tcW w:w="1882" w:type="dxa"/>
            <w:vMerge/>
            <w:tcBorders>
              <w:bottom w:val="single" w:sz="4" w:space="0" w:color="auto"/>
            </w:tcBorders>
            <w:shd w:val="clear" w:color="auto" w:fill="auto"/>
            <w:vAlign w:val="center"/>
          </w:tcPr>
          <w:p w:rsidR="005F5A24" w:rsidRPr="00937B75" w:rsidRDefault="005F5A24" w:rsidP="00937B75">
            <w:pPr>
              <w:jc w:val="center"/>
              <w:rPr>
                <w:rFonts w:ascii="Calibri" w:hAnsi="Calibri" w:cs="Calibri"/>
                <w:b/>
              </w:rPr>
            </w:pPr>
          </w:p>
        </w:tc>
        <w:tc>
          <w:tcPr>
            <w:tcW w:w="2634" w:type="dxa"/>
            <w:tcBorders>
              <w:bottom w:val="single" w:sz="4" w:space="0" w:color="auto"/>
            </w:tcBorders>
            <w:shd w:val="clear" w:color="auto" w:fill="auto"/>
          </w:tcPr>
          <w:p w:rsidR="005F5A24" w:rsidRPr="00937B75" w:rsidRDefault="005F5A24" w:rsidP="00937B75">
            <w:pPr>
              <w:rPr>
                <w:rFonts w:ascii="Calibri" w:hAnsi="Calibri" w:cs="Calibri"/>
              </w:rPr>
            </w:pPr>
            <w:r w:rsidRPr="00937B75">
              <w:rPr>
                <w:rFonts w:ascii="Calibri" w:hAnsi="Calibri" w:cs="Calibri"/>
              </w:rPr>
              <w:t>English Regents</w:t>
            </w:r>
          </w:p>
        </w:tc>
        <w:tc>
          <w:tcPr>
            <w:tcW w:w="4834" w:type="dxa"/>
            <w:tcBorders>
              <w:bottom w:val="single" w:sz="4" w:space="0" w:color="auto"/>
            </w:tcBorders>
            <w:shd w:val="clear" w:color="auto" w:fill="auto"/>
          </w:tcPr>
          <w:p w:rsidR="005F5A24" w:rsidRPr="00937B75" w:rsidRDefault="005F5A24" w:rsidP="00937B75">
            <w:pPr>
              <w:rPr>
                <w:rFonts w:ascii="Calibri" w:hAnsi="Calibri" w:cs="Calibri"/>
                <w:b/>
              </w:rPr>
            </w:pPr>
            <w:r w:rsidRPr="00937B75">
              <w:rPr>
                <w:rFonts w:ascii="Calibri" w:hAnsi="Calibri" w:cs="Calibri"/>
                <w:color w:val="222222"/>
                <w:shd w:val="clear" w:color="auto" w:fill="FFFFFF"/>
              </w:rPr>
              <w:t>Less than or equal to</w:t>
            </w:r>
            <w:r w:rsidRPr="00937B75">
              <w:rPr>
                <w:rFonts w:ascii="Calibri" w:hAnsi="Calibri" w:cs="Calibri"/>
                <w:b/>
                <w:color w:val="222222"/>
                <w:shd w:val="clear" w:color="auto" w:fill="FFFFFF"/>
              </w:rPr>
              <w:t xml:space="preserve"> 75</w:t>
            </w:r>
          </w:p>
        </w:tc>
      </w:tr>
      <w:tr w:rsidR="005F5A24" w:rsidRPr="00937B75" w:rsidTr="002439AB">
        <w:tc>
          <w:tcPr>
            <w:tcW w:w="1882" w:type="dxa"/>
            <w:shd w:val="pct25" w:color="auto" w:fill="auto"/>
            <w:vAlign w:val="center"/>
          </w:tcPr>
          <w:p w:rsidR="005F5A24" w:rsidRPr="00937B75" w:rsidRDefault="005F5A24" w:rsidP="00937B75">
            <w:pPr>
              <w:jc w:val="center"/>
              <w:rPr>
                <w:rFonts w:ascii="Calibri" w:hAnsi="Calibri" w:cs="Calibri"/>
                <w:b/>
              </w:rPr>
            </w:pPr>
          </w:p>
        </w:tc>
        <w:tc>
          <w:tcPr>
            <w:tcW w:w="2634" w:type="dxa"/>
            <w:shd w:val="pct25" w:color="auto" w:fill="auto"/>
          </w:tcPr>
          <w:p w:rsidR="005F5A24" w:rsidRPr="00937B75" w:rsidRDefault="005F5A24" w:rsidP="00937B75">
            <w:pPr>
              <w:rPr>
                <w:rFonts w:ascii="Calibri" w:hAnsi="Calibri" w:cs="Calibri"/>
              </w:rPr>
            </w:pPr>
          </w:p>
        </w:tc>
        <w:tc>
          <w:tcPr>
            <w:tcW w:w="4834" w:type="dxa"/>
            <w:shd w:val="pct25" w:color="auto" w:fill="auto"/>
          </w:tcPr>
          <w:p w:rsidR="005F5A24" w:rsidRPr="00937B75" w:rsidRDefault="005F5A24" w:rsidP="00937B75">
            <w:pPr>
              <w:rPr>
                <w:rFonts w:ascii="Calibri" w:hAnsi="Calibri" w:cs="Calibri"/>
              </w:rPr>
            </w:pPr>
          </w:p>
        </w:tc>
      </w:tr>
      <w:tr w:rsidR="005F5A24" w:rsidRPr="00937B75" w:rsidTr="002439AB">
        <w:tc>
          <w:tcPr>
            <w:tcW w:w="1882" w:type="dxa"/>
            <w:vMerge w:val="restart"/>
            <w:shd w:val="clear" w:color="auto" w:fill="auto"/>
            <w:vAlign w:val="center"/>
          </w:tcPr>
          <w:p w:rsidR="005F5A24" w:rsidRPr="00937B75" w:rsidRDefault="002439AB" w:rsidP="00937B75">
            <w:pPr>
              <w:jc w:val="center"/>
              <w:rPr>
                <w:rFonts w:ascii="Calibri" w:hAnsi="Calibri" w:cs="Calibri"/>
                <w:b/>
              </w:rPr>
            </w:pPr>
            <w:r>
              <w:rPr>
                <w:rFonts w:ascii="Calibri" w:hAnsi="Calibri" w:cs="Calibri"/>
                <w:b/>
              </w:rPr>
              <w:t>English 101</w:t>
            </w:r>
          </w:p>
        </w:tc>
        <w:tc>
          <w:tcPr>
            <w:tcW w:w="2634" w:type="dxa"/>
            <w:tcBorders>
              <w:bottom w:val="single" w:sz="4" w:space="0" w:color="auto"/>
            </w:tcBorders>
            <w:shd w:val="clear" w:color="auto" w:fill="auto"/>
          </w:tcPr>
          <w:p w:rsidR="005F5A24" w:rsidRPr="00937B75" w:rsidRDefault="005F5A24" w:rsidP="00937B75">
            <w:pPr>
              <w:rPr>
                <w:rFonts w:ascii="Calibri" w:hAnsi="Calibri" w:cs="Calibri"/>
              </w:rPr>
            </w:pPr>
            <w:r w:rsidRPr="00937B75">
              <w:rPr>
                <w:rFonts w:ascii="Calibri" w:hAnsi="Calibri" w:cs="Calibri"/>
              </w:rPr>
              <w:t>GPA</w:t>
            </w:r>
          </w:p>
        </w:tc>
        <w:tc>
          <w:tcPr>
            <w:tcW w:w="4834" w:type="dxa"/>
            <w:tcBorders>
              <w:bottom w:val="single" w:sz="4" w:space="0" w:color="auto"/>
            </w:tcBorders>
            <w:shd w:val="clear" w:color="auto" w:fill="auto"/>
          </w:tcPr>
          <w:p w:rsidR="005F5A24" w:rsidRPr="00937B75" w:rsidRDefault="005F5A24" w:rsidP="00937B75">
            <w:pPr>
              <w:rPr>
                <w:rFonts w:ascii="Calibri" w:hAnsi="Calibri" w:cs="Calibri"/>
                <w:b/>
                <w:color w:val="BFBFBF"/>
              </w:rPr>
            </w:pPr>
            <w:r w:rsidRPr="00937B75">
              <w:rPr>
                <w:rFonts w:ascii="Calibri" w:hAnsi="Calibri" w:cs="Calibri"/>
                <w:color w:val="222222"/>
                <w:shd w:val="clear" w:color="auto" w:fill="FFFFFF"/>
              </w:rPr>
              <w:t>Greater or equal to</w:t>
            </w:r>
            <w:r w:rsidRPr="00937B75">
              <w:rPr>
                <w:rFonts w:ascii="Calibri" w:hAnsi="Calibri" w:cs="Calibri"/>
                <w:b/>
                <w:color w:val="222222"/>
                <w:shd w:val="clear" w:color="auto" w:fill="FFFFFF"/>
              </w:rPr>
              <w:t xml:space="preserve"> 80</w:t>
            </w:r>
          </w:p>
        </w:tc>
      </w:tr>
      <w:tr w:rsidR="005F5A24" w:rsidRPr="00937B75" w:rsidTr="002439AB">
        <w:tc>
          <w:tcPr>
            <w:tcW w:w="1882" w:type="dxa"/>
            <w:vMerge/>
            <w:tcBorders>
              <w:bottom w:val="single" w:sz="4" w:space="0" w:color="auto"/>
            </w:tcBorders>
            <w:shd w:val="clear" w:color="auto" w:fill="auto"/>
            <w:vAlign w:val="center"/>
          </w:tcPr>
          <w:p w:rsidR="005F5A24" w:rsidRPr="00937B75" w:rsidRDefault="005F5A24" w:rsidP="00937B75">
            <w:pPr>
              <w:jc w:val="center"/>
              <w:rPr>
                <w:rFonts w:ascii="Calibri" w:hAnsi="Calibri" w:cs="Calibri"/>
                <w:b/>
              </w:rPr>
            </w:pPr>
          </w:p>
        </w:tc>
        <w:tc>
          <w:tcPr>
            <w:tcW w:w="2634" w:type="dxa"/>
            <w:tcBorders>
              <w:bottom w:val="single" w:sz="4" w:space="0" w:color="auto"/>
            </w:tcBorders>
            <w:shd w:val="clear" w:color="auto" w:fill="auto"/>
          </w:tcPr>
          <w:p w:rsidR="005F5A24" w:rsidRPr="00937B75" w:rsidRDefault="005F5A24" w:rsidP="00937B75">
            <w:pPr>
              <w:rPr>
                <w:rFonts w:ascii="Calibri" w:hAnsi="Calibri" w:cs="Calibri"/>
              </w:rPr>
            </w:pPr>
            <w:r w:rsidRPr="00937B75">
              <w:rPr>
                <w:rFonts w:ascii="Calibri" w:hAnsi="Calibri" w:cs="Calibri"/>
              </w:rPr>
              <w:t>English Regents</w:t>
            </w:r>
          </w:p>
        </w:tc>
        <w:tc>
          <w:tcPr>
            <w:tcW w:w="4834" w:type="dxa"/>
            <w:tcBorders>
              <w:bottom w:val="single" w:sz="4" w:space="0" w:color="auto"/>
            </w:tcBorders>
            <w:shd w:val="clear" w:color="auto" w:fill="auto"/>
          </w:tcPr>
          <w:p w:rsidR="005F5A24" w:rsidRPr="00937B75" w:rsidRDefault="005F5A24" w:rsidP="00937B75">
            <w:pPr>
              <w:rPr>
                <w:rFonts w:ascii="Calibri" w:hAnsi="Calibri" w:cs="Calibri"/>
                <w:b/>
                <w:color w:val="BFBFBF"/>
              </w:rPr>
            </w:pPr>
            <w:r w:rsidRPr="00937B75">
              <w:rPr>
                <w:rFonts w:ascii="Calibri" w:hAnsi="Calibri" w:cs="Calibri"/>
                <w:color w:val="222222"/>
                <w:shd w:val="clear" w:color="auto" w:fill="FFFFFF"/>
              </w:rPr>
              <w:t>Greater or equal to</w:t>
            </w:r>
            <w:r w:rsidRPr="00937B75">
              <w:rPr>
                <w:rFonts w:ascii="Calibri" w:hAnsi="Calibri" w:cs="Calibri"/>
                <w:b/>
                <w:color w:val="222222"/>
                <w:shd w:val="clear" w:color="auto" w:fill="FFFFFF"/>
              </w:rPr>
              <w:t xml:space="preserve"> 76</w:t>
            </w:r>
          </w:p>
        </w:tc>
      </w:tr>
      <w:tr w:rsidR="005F5A24" w:rsidRPr="00937B75" w:rsidTr="002439AB">
        <w:tc>
          <w:tcPr>
            <w:tcW w:w="1882" w:type="dxa"/>
            <w:shd w:val="clear" w:color="auto" w:fill="BFBFBF"/>
            <w:vAlign w:val="center"/>
          </w:tcPr>
          <w:p w:rsidR="005F5A24" w:rsidRPr="00937B75" w:rsidRDefault="005F5A24" w:rsidP="00937B75">
            <w:pPr>
              <w:jc w:val="center"/>
              <w:rPr>
                <w:rFonts w:ascii="Calibri" w:hAnsi="Calibri" w:cs="Calibri"/>
                <w:b/>
              </w:rPr>
            </w:pPr>
          </w:p>
        </w:tc>
        <w:tc>
          <w:tcPr>
            <w:tcW w:w="2634" w:type="dxa"/>
            <w:shd w:val="clear" w:color="auto" w:fill="BFBFBF"/>
          </w:tcPr>
          <w:p w:rsidR="005F5A24" w:rsidRPr="00937B75" w:rsidRDefault="005F5A24" w:rsidP="00937B75">
            <w:pPr>
              <w:rPr>
                <w:rFonts w:ascii="Calibri" w:hAnsi="Calibri" w:cs="Calibri"/>
              </w:rPr>
            </w:pPr>
          </w:p>
        </w:tc>
        <w:tc>
          <w:tcPr>
            <w:tcW w:w="4834" w:type="dxa"/>
            <w:shd w:val="clear" w:color="auto" w:fill="BFBFBF"/>
          </w:tcPr>
          <w:p w:rsidR="005F5A24" w:rsidRPr="00937B75" w:rsidRDefault="005F5A24" w:rsidP="00937B75">
            <w:pPr>
              <w:rPr>
                <w:rFonts w:ascii="Calibri" w:hAnsi="Calibri" w:cs="Calibri"/>
              </w:rPr>
            </w:pPr>
          </w:p>
        </w:tc>
      </w:tr>
      <w:tr w:rsidR="005F5A24" w:rsidRPr="00937B75" w:rsidTr="002439AB">
        <w:tc>
          <w:tcPr>
            <w:tcW w:w="1882" w:type="dxa"/>
            <w:shd w:val="clear" w:color="auto" w:fill="auto"/>
            <w:vAlign w:val="center"/>
          </w:tcPr>
          <w:p w:rsidR="005F5A24" w:rsidRPr="00937B75" w:rsidRDefault="005F5A24" w:rsidP="00937B75">
            <w:pPr>
              <w:jc w:val="center"/>
              <w:rPr>
                <w:rFonts w:ascii="Calibri" w:hAnsi="Calibri" w:cs="Calibri"/>
                <w:b/>
              </w:rPr>
            </w:pPr>
            <w:r w:rsidRPr="00937B75">
              <w:rPr>
                <w:rFonts w:ascii="Calibri" w:hAnsi="Calibri" w:cs="Calibri"/>
                <w:b/>
              </w:rPr>
              <w:t>English 102</w:t>
            </w:r>
          </w:p>
        </w:tc>
        <w:tc>
          <w:tcPr>
            <w:tcW w:w="2634" w:type="dxa"/>
            <w:shd w:val="clear" w:color="auto" w:fill="auto"/>
          </w:tcPr>
          <w:p w:rsidR="005F5A24" w:rsidRPr="00937B75" w:rsidRDefault="005F5A24" w:rsidP="00937B75">
            <w:pPr>
              <w:rPr>
                <w:rFonts w:ascii="Calibri" w:hAnsi="Calibri" w:cs="Calibri"/>
              </w:rPr>
            </w:pPr>
            <w:r w:rsidRPr="00937B75">
              <w:rPr>
                <w:rFonts w:ascii="Calibri" w:hAnsi="Calibri" w:cs="Calibri"/>
              </w:rPr>
              <w:t>College/ AP English Course</w:t>
            </w:r>
          </w:p>
        </w:tc>
        <w:tc>
          <w:tcPr>
            <w:tcW w:w="4834" w:type="dxa"/>
            <w:shd w:val="clear" w:color="auto" w:fill="auto"/>
          </w:tcPr>
          <w:p w:rsidR="005F5A24" w:rsidRPr="00937B75" w:rsidRDefault="005F5A24" w:rsidP="00937B75">
            <w:pPr>
              <w:rPr>
                <w:rFonts w:ascii="Calibri" w:hAnsi="Calibri" w:cs="Calibri"/>
              </w:rPr>
            </w:pPr>
            <w:r w:rsidRPr="00937B75">
              <w:rPr>
                <w:rFonts w:ascii="Calibri" w:hAnsi="Calibri" w:cs="Calibri"/>
              </w:rPr>
              <w:t>Only if a student has successfully taken a college level course and received college credit</w:t>
            </w:r>
          </w:p>
        </w:tc>
      </w:tr>
    </w:tbl>
    <w:p w:rsidR="005F5A24" w:rsidRDefault="005F5A24" w:rsidP="005F5A24">
      <w:pPr>
        <w:rPr>
          <w:b/>
        </w:rPr>
      </w:pPr>
    </w:p>
    <w:p w:rsidR="005F5A24" w:rsidRDefault="005F5A24" w:rsidP="002439AB">
      <w:pPr>
        <w:ind w:left="720"/>
        <w:rPr>
          <w:b/>
          <w:bCs/>
        </w:rPr>
      </w:pPr>
      <w:r>
        <w:rPr>
          <w:b/>
          <w:bCs/>
        </w:rPr>
        <w:t>ENGL 100</w:t>
      </w:r>
    </w:p>
    <w:p w:rsidR="005F5A24" w:rsidRDefault="005F5A24" w:rsidP="002439AB">
      <w:pPr>
        <w:ind w:left="720"/>
        <w:rPr>
          <w:b/>
          <w:bCs/>
        </w:rPr>
      </w:pPr>
      <w:r>
        <w:t xml:space="preserve">ENGL 100 is a preparatory course for ENGL 101 Composition I. It is a </w:t>
      </w:r>
      <w:r w:rsidRPr="007E74E0">
        <w:rPr>
          <w:b/>
        </w:rPr>
        <w:t>credit-bearing</w:t>
      </w:r>
      <w:r>
        <w:t xml:space="preserve">, college-level course that will introduce students to the critical reading, thinking, and writing practices that will enable them to complete their studies successfully. The course is also designed to meet students at their reading and writing levels when they enter college and to prepare them in one semester for the challenges presented in ENGL 101. </w:t>
      </w:r>
      <w:r w:rsidRPr="008A4358">
        <w:rPr>
          <w:b/>
        </w:rPr>
        <w:t xml:space="preserve">All students taking ENGL 100 must earn a grade of </w:t>
      </w:r>
      <w:r>
        <w:rPr>
          <w:b/>
        </w:rPr>
        <w:t xml:space="preserve">C- </w:t>
      </w:r>
      <w:r w:rsidRPr="008A4358">
        <w:rPr>
          <w:b/>
        </w:rPr>
        <w:t>or better in order to receive course credit and move forward to ENGL 101.</w:t>
      </w:r>
      <w:r>
        <w:t xml:space="preserve"> </w:t>
      </w:r>
      <w:r>
        <w:tab/>
      </w:r>
      <w:r>
        <w:tab/>
        <w:t xml:space="preserve">[Fall, Spring] [3 credits] </w:t>
      </w:r>
      <w:r>
        <w:tab/>
      </w:r>
      <w:r>
        <w:tab/>
        <w:t>Contact hours: 3</w:t>
      </w:r>
    </w:p>
    <w:p w:rsidR="005F5A24" w:rsidRDefault="005F5A24" w:rsidP="002439AB">
      <w:pPr>
        <w:ind w:left="720"/>
        <w:rPr>
          <w:b/>
          <w:bCs/>
        </w:rPr>
      </w:pPr>
    </w:p>
    <w:p w:rsidR="005F5A24" w:rsidRDefault="005F5A24" w:rsidP="002439AB">
      <w:pPr>
        <w:ind w:left="720"/>
        <w:rPr>
          <w:b/>
          <w:bCs/>
        </w:rPr>
      </w:pPr>
      <w:r>
        <w:rPr>
          <w:b/>
          <w:bCs/>
        </w:rPr>
        <w:t>ENGL 101</w:t>
      </w:r>
    </w:p>
    <w:p w:rsidR="005F5A24" w:rsidRDefault="005F5A24" w:rsidP="002439AB">
      <w:pPr>
        <w:ind w:left="720"/>
      </w:pPr>
      <w:r>
        <w:t xml:space="preserve">In this composition course, students will write personal essays developing a point or an idea with evidence drawn from their own lives and academic essays organized around an intellectual task, such as arguing in favor of an idea, comparing, defining or analyzing. A student must demonstrate competency in (1) organizing and paragraphing, (2) clarity of main point, (3) appropriateness, logic and specificity of development, (4) maturity of content, and (5) sentence structure, grammar, spelling, and punctuation. This course will include an introductory research component. Prerequisite: </w:t>
      </w:r>
      <w:r>
        <w:rPr>
          <w:b/>
          <w:bCs/>
        </w:rPr>
        <w:t>Placement using the guidelines above OR a C- or higher in ENGL 100.</w:t>
      </w:r>
      <w:r>
        <w:t xml:space="preserve">  </w:t>
      </w:r>
      <w:r>
        <w:tab/>
        <w:t>[Fall, Spring] [3 credits]        Contact hours: 3</w:t>
      </w:r>
    </w:p>
    <w:p w:rsidR="002938CB" w:rsidRDefault="002938CB" w:rsidP="005F5A24"/>
    <w:p w:rsidR="00AC0B73" w:rsidRPr="00233964" w:rsidRDefault="003A65EC" w:rsidP="00233964">
      <w:pPr>
        <w:spacing w:after="120"/>
        <w:ind w:left="576" w:hanging="288"/>
        <w:rPr>
          <w:b/>
          <w:i/>
          <w:sz w:val="28"/>
          <w:szCs w:val="28"/>
        </w:rPr>
      </w:pPr>
      <w:r w:rsidRPr="00233964">
        <w:rPr>
          <w:b/>
          <w:i/>
          <w:sz w:val="28"/>
          <w:szCs w:val="28"/>
        </w:rPr>
        <w:t>D</w:t>
      </w:r>
      <w:r w:rsidR="00AC0B73" w:rsidRPr="00233964">
        <w:rPr>
          <w:b/>
          <w:i/>
          <w:sz w:val="28"/>
          <w:szCs w:val="28"/>
        </w:rPr>
        <w:t>. Recruitment</w:t>
      </w:r>
      <w:r w:rsidR="009F11B3" w:rsidRPr="00233964">
        <w:rPr>
          <w:b/>
          <w:i/>
          <w:sz w:val="28"/>
          <w:szCs w:val="28"/>
        </w:rPr>
        <w:t xml:space="preserve"> Activities for Program</w:t>
      </w:r>
    </w:p>
    <w:p w:rsidR="00233964" w:rsidRPr="001E0FAC" w:rsidRDefault="001E0FAC" w:rsidP="00233964">
      <w:pPr>
        <w:ind w:left="576"/>
        <w:rPr>
          <w:i/>
        </w:rPr>
      </w:pPr>
      <w:r w:rsidRPr="001E0FAC">
        <w:rPr>
          <w:i/>
          <w:highlight w:val="yellow"/>
        </w:rPr>
        <w:t>department description</w:t>
      </w:r>
    </w:p>
    <w:p w:rsidR="00233964" w:rsidRDefault="00233964" w:rsidP="00233964">
      <w:pPr>
        <w:ind w:left="576"/>
      </w:pPr>
    </w:p>
    <w:p w:rsidR="001E0FAC" w:rsidRDefault="001E0FAC" w:rsidP="00233964">
      <w:pPr>
        <w:ind w:left="576"/>
      </w:pPr>
    </w:p>
    <w:p w:rsidR="00FD5452" w:rsidRPr="00233964" w:rsidRDefault="001073FD" w:rsidP="00FD5452">
      <w:pPr>
        <w:spacing w:after="120"/>
        <w:ind w:left="576" w:hanging="288"/>
        <w:rPr>
          <w:b/>
          <w:i/>
          <w:sz w:val="28"/>
          <w:szCs w:val="28"/>
        </w:rPr>
      </w:pPr>
      <w:r>
        <w:rPr>
          <w:b/>
          <w:i/>
          <w:sz w:val="28"/>
          <w:szCs w:val="28"/>
        </w:rPr>
        <w:t>E</w:t>
      </w:r>
      <w:r w:rsidR="00FD5452" w:rsidRPr="00233964">
        <w:rPr>
          <w:b/>
          <w:i/>
          <w:sz w:val="28"/>
          <w:szCs w:val="28"/>
        </w:rPr>
        <w:t>. Student Orientation Activities for Incoming Students in Program</w:t>
      </w:r>
    </w:p>
    <w:p w:rsidR="00FD5452" w:rsidRPr="00D55EF0" w:rsidRDefault="00FD5452" w:rsidP="00FD5452">
      <w:pPr>
        <w:ind w:left="576"/>
        <w:rPr>
          <w:i/>
        </w:rPr>
      </w:pPr>
      <w:r w:rsidRPr="00E871D4">
        <w:rPr>
          <w:i/>
          <w:highlight w:val="yellow"/>
        </w:rPr>
        <w:t>department statement of the activities specific to the program if appropriate</w:t>
      </w:r>
    </w:p>
    <w:p w:rsidR="00FD5452" w:rsidRDefault="00FD5452" w:rsidP="00FD5452">
      <w:pPr>
        <w:ind w:left="576"/>
      </w:pPr>
    </w:p>
    <w:p w:rsidR="00FD5452" w:rsidRDefault="00FD5452" w:rsidP="00FD5452">
      <w:pPr>
        <w:ind w:left="576"/>
      </w:pPr>
    </w:p>
    <w:p w:rsidR="00FC4CC5" w:rsidRDefault="00FC4CC5" w:rsidP="00FD5452">
      <w:pPr>
        <w:ind w:left="576"/>
      </w:pPr>
    </w:p>
    <w:p w:rsidR="00FC4CC5" w:rsidRDefault="00FC4CC5" w:rsidP="00FD5452">
      <w:pPr>
        <w:ind w:left="576"/>
      </w:pPr>
    </w:p>
    <w:p w:rsidR="00FC4CC5" w:rsidRDefault="00FC4CC5" w:rsidP="00FD5452">
      <w:pPr>
        <w:ind w:left="576"/>
      </w:pPr>
    </w:p>
    <w:p w:rsidR="00AC0B73" w:rsidRPr="00233964" w:rsidRDefault="001073FD" w:rsidP="00233964">
      <w:pPr>
        <w:spacing w:after="120"/>
        <w:ind w:left="576" w:hanging="288"/>
        <w:rPr>
          <w:b/>
          <w:i/>
          <w:sz w:val="28"/>
          <w:szCs w:val="28"/>
        </w:rPr>
      </w:pPr>
      <w:r>
        <w:rPr>
          <w:b/>
          <w:i/>
          <w:sz w:val="28"/>
          <w:szCs w:val="28"/>
        </w:rPr>
        <w:lastRenderedPageBreak/>
        <w:t>F</w:t>
      </w:r>
      <w:r w:rsidR="00AC0B73" w:rsidRPr="00233964">
        <w:rPr>
          <w:b/>
          <w:i/>
          <w:sz w:val="28"/>
          <w:szCs w:val="28"/>
        </w:rPr>
        <w:t xml:space="preserve">. Enrollment </w:t>
      </w:r>
      <w:r w:rsidR="00FD5452">
        <w:rPr>
          <w:b/>
          <w:i/>
          <w:sz w:val="28"/>
          <w:szCs w:val="28"/>
        </w:rPr>
        <w:t>Summary</w:t>
      </w:r>
      <w:r w:rsidR="003A65EC" w:rsidRPr="00233964">
        <w:rPr>
          <w:b/>
          <w:i/>
          <w:sz w:val="28"/>
          <w:szCs w:val="28"/>
        </w:rPr>
        <w:t xml:space="preserve"> </w:t>
      </w:r>
    </w:p>
    <w:p w:rsidR="00FC4CC5" w:rsidRDefault="00FC4CC5" w:rsidP="005B455D">
      <w:pPr>
        <w:ind w:left="576"/>
      </w:pPr>
    </w:p>
    <w:p w:rsidR="00296CA3" w:rsidRDefault="00296CA3" w:rsidP="00296CA3">
      <w:pPr>
        <w:jc w:val="center"/>
        <w:rPr>
          <w:i/>
        </w:rPr>
      </w:pPr>
      <w:r>
        <w:t>Table 14.  Numbers of Students Enrolled in this Program by Semester</w:t>
      </w:r>
      <w:r>
        <w:rPr>
          <w:vertAlign w:val="superscript"/>
        </w:rPr>
        <w:t xml:space="preserve"> 7</w:t>
      </w:r>
      <w:r>
        <w:t xml:space="preserve">  </w:t>
      </w:r>
      <w:r w:rsidRPr="00601C09">
        <w:rPr>
          <w:i/>
        </w:rPr>
        <w:t>[</w:t>
      </w:r>
      <w:r w:rsidRPr="00601C09">
        <w:rPr>
          <w:b/>
          <w:i/>
        </w:rPr>
        <w:t>IR updates yearly</w:t>
      </w:r>
      <w:r w:rsidRPr="00601C09">
        <w:rPr>
          <w:i/>
        </w:rPr>
        <w:t>]</w:t>
      </w:r>
    </w:p>
    <w:p w:rsidR="00296CA3" w:rsidRDefault="00296CA3" w:rsidP="00296CA3">
      <w:pPr>
        <w:ind w:left="57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482"/>
        <w:gridCol w:w="603"/>
        <w:gridCol w:w="482"/>
        <w:gridCol w:w="570"/>
        <w:gridCol w:w="482"/>
        <w:gridCol w:w="609"/>
        <w:gridCol w:w="482"/>
        <w:gridCol w:w="572"/>
        <w:gridCol w:w="508"/>
        <w:gridCol w:w="508"/>
        <w:gridCol w:w="508"/>
      </w:tblGrid>
      <w:tr w:rsidR="00F33837" w:rsidRPr="00C95CA8" w:rsidTr="000350CF">
        <w:trPr>
          <w:trHeight w:val="1152"/>
          <w:jc w:val="center"/>
        </w:trPr>
        <w:tc>
          <w:tcPr>
            <w:tcW w:w="2970" w:type="dxa"/>
            <w:tcBorders>
              <w:top w:val="nil"/>
              <w:left w:val="nil"/>
            </w:tcBorders>
            <w:shd w:val="clear" w:color="auto" w:fill="auto"/>
            <w:noWrap/>
            <w:vAlign w:val="bottom"/>
          </w:tcPr>
          <w:p w:rsidR="00F33837" w:rsidRPr="00157F35" w:rsidRDefault="00F33837" w:rsidP="00293503">
            <w:pPr>
              <w:jc w:val="center"/>
              <w:rPr>
                <w:bCs/>
                <w:color w:val="000000"/>
                <w:sz w:val="22"/>
                <w:szCs w:val="22"/>
              </w:rPr>
            </w:pPr>
          </w:p>
        </w:tc>
        <w:tc>
          <w:tcPr>
            <w:tcW w:w="482" w:type="dxa"/>
            <w:shd w:val="clear" w:color="auto" w:fill="auto"/>
            <w:noWrap/>
            <w:textDirection w:val="btLr"/>
            <w:vAlign w:val="center"/>
          </w:tcPr>
          <w:p w:rsidR="00F33837" w:rsidRPr="00F839DF" w:rsidRDefault="00F33837" w:rsidP="00293503">
            <w:pPr>
              <w:jc w:val="center"/>
              <w:rPr>
                <w:bCs/>
                <w:color w:val="000000"/>
                <w:sz w:val="22"/>
                <w:szCs w:val="22"/>
              </w:rPr>
            </w:pPr>
            <w:r w:rsidRPr="00F839DF">
              <w:rPr>
                <w:bCs/>
                <w:color w:val="000000"/>
                <w:sz w:val="22"/>
                <w:szCs w:val="22"/>
              </w:rPr>
              <w:t xml:space="preserve">Fall </w:t>
            </w:r>
            <w:r>
              <w:rPr>
                <w:bCs/>
                <w:color w:val="000000"/>
                <w:sz w:val="22"/>
                <w:szCs w:val="22"/>
              </w:rPr>
              <w:t>2020</w:t>
            </w:r>
          </w:p>
        </w:tc>
        <w:tc>
          <w:tcPr>
            <w:tcW w:w="603" w:type="dxa"/>
            <w:shd w:val="clear" w:color="auto" w:fill="auto"/>
            <w:noWrap/>
            <w:textDirection w:val="btLr"/>
            <w:vAlign w:val="center"/>
          </w:tcPr>
          <w:p w:rsidR="00F33837" w:rsidRPr="00F839DF" w:rsidRDefault="00F33837" w:rsidP="00293503">
            <w:pPr>
              <w:jc w:val="center"/>
              <w:rPr>
                <w:bCs/>
                <w:color w:val="000000"/>
                <w:sz w:val="22"/>
                <w:szCs w:val="22"/>
              </w:rPr>
            </w:pPr>
            <w:r w:rsidRPr="00F839DF">
              <w:rPr>
                <w:bCs/>
                <w:color w:val="000000"/>
                <w:sz w:val="22"/>
                <w:szCs w:val="22"/>
              </w:rPr>
              <w:t xml:space="preserve">Spring </w:t>
            </w:r>
            <w:r>
              <w:rPr>
                <w:bCs/>
                <w:color w:val="000000"/>
                <w:sz w:val="22"/>
                <w:szCs w:val="22"/>
              </w:rPr>
              <w:t>2021</w:t>
            </w:r>
          </w:p>
        </w:tc>
        <w:tc>
          <w:tcPr>
            <w:tcW w:w="482" w:type="dxa"/>
            <w:shd w:val="clear" w:color="auto" w:fill="auto"/>
            <w:noWrap/>
            <w:textDirection w:val="btLr"/>
            <w:vAlign w:val="center"/>
          </w:tcPr>
          <w:p w:rsidR="00F33837" w:rsidRPr="00F839DF" w:rsidRDefault="00F33837" w:rsidP="00293503">
            <w:pPr>
              <w:jc w:val="center"/>
              <w:rPr>
                <w:bCs/>
                <w:color w:val="000000"/>
                <w:sz w:val="22"/>
                <w:szCs w:val="22"/>
              </w:rPr>
            </w:pPr>
            <w:r w:rsidRPr="00F839DF">
              <w:rPr>
                <w:bCs/>
                <w:color w:val="000000"/>
                <w:sz w:val="22"/>
                <w:szCs w:val="22"/>
              </w:rPr>
              <w:t xml:space="preserve">Fall </w:t>
            </w:r>
            <w:r>
              <w:rPr>
                <w:bCs/>
                <w:color w:val="000000"/>
                <w:sz w:val="22"/>
                <w:szCs w:val="22"/>
              </w:rPr>
              <w:t>2021</w:t>
            </w:r>
          </w:p>
        </w:tc>
        <w:tc>
          <w:tcPr>
            <w:tcW w:w="570" w:type="dxa"/>
            <w:shd w:val="clear" w:color="auto" w:fill="auto"/>
            <w:noWrap/>
            <w:textDirection w:val="btLr"/>
            <w:vAlign w:val="center"/>
          </w:tcPr>
          <w:p w:rsidR="00F33837" w:rsidRPr="00F839DF" w:rsidRDefault="00F33837" w:rsidP="00293503">
            <w:pPr>
              <w:jc w:val="center"/>
              <w:rPr>
                <w:bCs/>
                <w:color w:val="000000"/>
                <w:sz w:val="22"/>
                <w:szCs w:val="22"/>
              </w:rPr>
            </w:pPr>
            <w:r w:rsidRPr="00F839DF">
              <w:rPr>
                <w:bCs/>
                <w:color w:val="000000"/>
                <w:sz w:val="22"/>
                <w:szCs w:val="22"/>
              </w:rPr>
              <w:t xml:space="preserve">Spring </w:t>
            </w:r>
            <w:r>
              <w:rPr>
                <w:bCs/>
                <w:color w:val="000000"/>
                <w:sz w:val="22"/>
                <w:szCs w:val="22"/>
              </w:rPr>
              <w:t>2022</w:t>
            </w:r>
          </w:p>
        </w:tc>
        <w:tc>
          <w:tcPr>
            <w:tcW w:w="482" w:type="dxa"/>
            <w:shd w:val="clear" w:color="auto" w:fill="auto"/>
            <w:noWrap/>
            <w:textDirection w:val="btLr"/>
            <w:vAlign w:val="center"/>
          </w:tcPr>
          <w:p w:rsidR="00F33837" w:rsidRPr="00F839DF" w:rsidRDefault="00F33837" w:rsidP="00293503">
            <w:pPr>
              <w:jc w:val="center"/>
              <w:rPr>
                <w:bCs/>
                <w:color w:val="000000"/>
                <w:sz w:val="22"/>
                <w:szCs w:val="22"/>
              </w:rPr>
            </w:pPr>
            <w:r w:rsidRPr="00F839DF">
              <w:rPr>
                <w:bCs/>
                <w:color w:val="000000"/>
                <w:sz w:val="22"/>
                <w:szCs w:val="22"/>
              </w:rPr>
              <w:t xml:space="preserve">Fall </w:t>
            </w:r>
            <w:r>
              <w:rPr>
                <w:bCs/>
                <w:color w:val="000000"/>
                <w:sz w:val="22"/>
                <w:szCs w:val="22"/>
              </w:rPr>
              <w:t>2022</w:t>
            </w:r>
          </w:p>
        </w:tc>
        <w:tc>
          <w:tcPr>
            <w:tcW w:w="609" w:type="dxa"/>
            <w:shd w:val="clear" w:color="auto" w:fill="auto"/>
            <w:textDirection w:val="btLr"/>
            <w:vAlign w:val="center"/>
          </w:tcPr>
          <w:p w:rsidR="00F33837" w:rsidRPr="00F839DF" w:rsidRDefault="00F33837" w:rsidP="00293503">
            <w:pPr>
              <w:jc w:val="center"/>
              <w:rPr>
                <w:bCs/>
                <w:color w:val="000000"/>
                <w:sz w:val="22"/>
                <w:szCs w:val="22"/>
              </w:rPr>
            </w:pPr>
            <w:r w:rsidRPr="00F839DF">
              <w:rPr>
                <w:bCs/>
                <w:color w:val="000000"/>
                <w:sz w:val="22"/>
                <w:szCs w:val="22"/>
              </w:rPr>
              <w:t xml:space="preserve">Spring </w:t>
            </w:r>
            <w:r>
              <w:rPr>
                <w:bCs/>
                <w:color w:val="000000"/>
                <w:sz w:val="22"/>
                <w:szCs w:val="22"/>
              </w:rPr>
              <w:t>2023</w:t>
            </w:r>
          </w:p>
        </w:tc>
        <w:tc>
          <w:tcPr>
            <w:tcW w:w="482" w:type="dxa"/>
            <w:textDirection w:val="btLr"/>
            <w:vAlign w:val="center"/>
          </w:tcPr>
          <w:p w:rsidR="00F33837" w:rsidRPr="00F839DF" w:rsidRDefault="00F33837" w:rsidP="00293503">
            <w:pPr>
              <w:jc w:val="center"/>
              <w:rPr>
                <w:bCs/>
                <w:color w:val="000000"/>
                <w:sz w:val="22"/>
                <w:szCs w:val="22"/>
              </w:rPr>
            </w:pPr>
            <w:r w:rsidRPr="00F839DF">
              <w:rPr>
                <w:bCs/>
                <w:color w:val="000000"/>
                <w:sz w:val="22"/>
                <w:szCs w:val="22"/>
              </w:rPr>
              <w:t xml:space="preserve">Fall </w:t>
            </w:r>
            <w:r>
              <w:rPr>
                <w:bCs/>
                <w:color w:val="000000"/>
                <w:sz w:val="22"/>
                <w:szCs w:val="22"/>
              </w:rPr>
              <w:t>2023</w:t>
            </w:r>
          </w:p>
        </w:tc>
        <w:tc>
          <w:tcPr>
            <w:tcW w:w="572" w:type="dxa"/>
            <w:textDirection w:val="btLr"/>
            <w:vAlign w:val="center"/>
          </w:tcPr>
          <w:p w:rsidR="00F33837" w:rsidRPr="00F839DF" w:rsidRDefault="00F33837" w:rsidP="00293503">
            <w:pPr>
              <w:jc w:val="center"/>
              <w:rPr>
                <w:bCs/>
                <w:color w:val="000000"/>
                <w:sz w:val="22"/>
                <w:szCs w:val="22"/>
              </w:rPr>
            </w:pPr>
            <w:r w:rsidRPr="00F839DF">
              <w:rPr>
                <w:bCs/>
                <w:color w:val="000000"/>
                <w:sz w:val="22"/>
                <w:szCs w:val="22"/>
              </w:rPr>
              <w:t xml:space="preserve">Spring </w:t>
            </w:r>
            <w:r>
              <w:rPr>
                <w:bCs/>
                <w:color w:val="000000"/>
                <w:sz w:val="22"/>
                <w:szCs w:val="22"/>
              </w:rPr>
              <w:t>2024</w:t>
            </w:r>
          </w:p>
        </w:tc>
        <w:tc>
          <w:tcPr>
            <w:tcW w:w="508" w:type="dxa"/>
            <w:textDirection w:val="btLr"/>
          </w:tcPr>
          <w:p w:rsidR="00F33837" w:rsidRPr="00F839DF" w:rsidRDefault="00F33837" w:rsidP="00293503">
            <w:pPr>
              <w:jc w:val="center"/>
              <w:rPr>
                <w:bCs/>
                <w:color w:val="000000"/>
                <w:sz w:val="22"/>
                <w:szCs w:val="22"/>
              </w:rPr>
            </w:pPr>
            <w:r>
              <w:rPr>
                <w:bCs/>
                <w:color w:val="000000"/>
                <w:sz w:val="22"/>
                <w:szCs w:val="22"/>
              </w:rPr>
              <w:t>Fall 2024</w:t>
            </w:r>
          </w:p>
        </w:tc>
        <w:tc>
          <w:tcPr>
            <w:tcW w:w="508" w:type="dxa"/>
            <w:textDirection w:val="btLr"/>
          </w:tcPr>
          <w:p w:rsidR="00F33837" w:rsidRPr="00F839DF" w:rsidRDefault="00F33837" w:rsidP="00293503">
            <w:pPr>
              <w:jc w:val="center"/>
              <w:rPr>
                <w:bCs/>
                <w:color w:val="000000"/>
                <w:sz w:val="22"/>
                <w:szCs w:val="22"/>
              </w:rPr>
            </w:pPr>
            <w:r>
              <w:rPr>
                <w:bCs/>
                <w:color w:val="000000"/>
                <w:sz w:val="22"/>
                <w:szCs w:val="22"/>
              </w:rPr>
              <w:t>Spring 2025</w:t>
            </w:r>
          </w:p>
        </w:tc>
        <w:tc>
          <w:tcPr>
            <w:tcW w:w="508" w:type="dxa"/>
            <w:textDirection w:val="btLr"/>
          </w:tcPr>
          <w:p w:rsidR="00F33837" w:rsidRDefault="00F33837" w:rsidP="00293503">
            <w:pPr>
              <w:jc w:val="center"/>
              <w:rPr>
                <w:bCs/>
                <w:color w:val="000000"/>
                <w:sz w:val="22"/>
                <w:szCs w:val="22"/>
              </w:rPr>
            </w:pPr>
            <w:r>
              <w:rPr>
                <w:bCs/>
                <w:color w:val="000000"/>
                <w:sz w:val="22"/>
                <w:szCs w:val="22"/>
              </w:rPr>
              <w:t>Fall 2025</w:t>
            </w:r>
          </w:p>
        </w:tc>
      </w:tr>
      <w:tr w:rsidR="00F33837" w:rsidRPr="00C95CA8" w:rsidTr="000350CF">
        <w:trPr>
          <w:trHeight w:val="330"/>
          <w:jc w:val="center"/>
        </w:trPr>
        <w:tc>
          <w:tcPr>
            <w:tcW w:w="2970" w:type="dxa"/>
            <w:shd w:val="clear" w:color="auto" w:fill="auto"/>
            <w:noWrap/>
            <w:vAlign w:val="bottom"/>
          </w:tcPr>
          <w:p w:rsidR="00F33837" w:rsidRPr="00C95CA8" w:rsidRDefault="00F33837" w:rsidP="00293503">
            <w:pPr>
              <w:rPr>
                <w:bCs/>
                <w:color w:val="000000"/>
                <w:sz w:val="22"/>
                <w:szCs w:val="22"/>
              </w:rPr>
            </w:pPr>
            <w:r w:rsidRPr="00C95CA8">
              <w:rPr>
                <w:bCs/>
                <w:color w:val="000000"/>
                <w:sz w:val="22"/>
                <w:szCs w:val="22"/>
              </w:rPr>
              <w:t>No. of first year students</w:t>
            </w:r>
            <w:r w:rsidRPr="00C95CA8">
              <w:rPr>
                <w:bCs/>
                <w:color w:val="000000"/>
                <w:sz w:val="22"/>
                <w:szCs w:val="22"/>
                <w:vertAlign w:val="superscript"/>
              </w:rPr>
              <w:t xml:space="preserve"> 8</w:t>
            </w: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603"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570"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609" w:type="dxa"/>
          </w:tcPr>
          <w:p w:rsidR="00F33837" w:rsidRPr="00C95CA8" w:rsidRDefault="00F33837" w:rsidP="00293503">
            <w:pPr>
              <w:jc w:val="center"/>
              <w:rPr>
                <w:color w:val="000000"/>
                <w:sz w:val="22"/>
                <w:szCs w:val="22"/>
              </w:rPr>
            </w:pPr>
          </w:p>
        </w:tc>
        <w:tc>
          <w:tcPr>
            <w:tcW w:w="482" w:type="dxa"/>
          </w:tcPr>
          <w:p w:rsidR="00F33837" w:rsidRPr="00C95CA8" w:rsidRDefault="00F33837" w:rsidP="00293503">
            <w:pPr>
              <w:jc w:val="center"/>
              <w:rPr>
                <w:color w:val="000000"/>
                <w:sz w:val="22"/>
                <w:szCs w:val="22"/>
              </w:rPr>
            </w:pPr>
          </w:p>
        </w:tc>
        <w:tc>
          <w:tcPr>
            <w:tcW w:w="572" w:type="dxa"/>
          </w:tcPr>
          <w:p w:rsidR="00F33837" w:rsidRPr="00C95CA8" w:rsidRDefault="00F33837" w:rsidP="00293503">
            <w:pPr>
              <w:rPr>
                <w:color w:val="000000"/>
                <w:sz w:val="22"/>
                <w:szCs w:val="22"/>
              </w:rPr>
            </w:pPr>
          </w:p>
        </w:tc>
        <w:tc>
          <w:tcPr>
            <w:tcW w:w="508" w:type="dxa"/>
          </w:tcPr>
          <w:p w:rsidR="00F33837" w:rsidRPr="00C95CA8" w:rsidRDefault="00F33837" w:rsidP="00293503">
            <w:pPr>
              <w:rPr>
                <w:color w:val="000000"/>
                <w:sz w:val="22"/>
                <w:szCs w:val="22"/>
              </w:rPr>
            </w:pPr>
          </w:p>
        </w:tc>
        <w:tc>
          <w:tcPr>
            <w:tcW w:w="508" w:type="dxa"/>
          </w:tcPr>
          <w:p w:rsidR="00F33837" w:rsidRPr="00C95CA8" w:rsidRDefault="00F33837" w:rsidP="00293503">
            <w:pPr>
              <w:rPr>
                <w:color w:val="000000"/>
                <w:sz w:val="22"/>
                <w:szCs w:val="22"/>
              </w:rPr>
            </w:pPr>
          </w:p>
        </w:tc>
        <w:tc>
          <w:tcPr>
            <w:tcW w:w="508" w:type="dxa"/>
          </w:tcPr>
          <w:p w:rsidR="00F33837" w:rsidRPr="00C95CA8" w:rsidRDefault="00F33837" w:rsidP="00293503">
            <w:pPr>
              <w:rPr>
                <w:color w:val="000000"/>
                <w:sz w:val="22"/>
                <w:szCs w:val="22"/>
              </w:rPr>
            </w:pPr>
          </w:p>
        </w:tc>
      </w:tr>
      <w:tr w:rsidR="00F33837" w:rsidRPr="00C95CA8" w:rsidTr="000350CF">
        <w:trPr>
          <w:trHeight w:val="330"/>
          <w:jc w:val="center"/>
        </w:trPr>
        <w:tc>
          <w:tcPr>
            <w:tcW w:w="2970" w:type="dxa"/>
            <w:shd w:val="clear" w:color="auto" w:fill="auto"/>
            <w:noWrap/>
            <w:vAlign w:val="bottom"/>
          </w:tcPr>
          <w:p w:rsidR="00F33837" w:rsidRPr="00C95CA8" w:rsidRDefault="00F33837" w:rsidP="00293503">
            <w:pPr>
              <w:rPr>
                <w:bCs/>
                <w:color w:val="000000"/>
                <w:sz w:val="22"/>
                <w:szCs w:val="22"/>
              </w:rPr>
            </w:pPr>
            <w:r w:rsidRPr="00C95CA8">
              <w:rPr>
                <w:bCs/>
                <w:color w:val="000000"/>
                <w:sz w:val="22"/>
                <w:szCs w:val="22"/>
              </w:rPr>
              <w:t>No. of second year students</w:t>
            </w:r>
            <w:r w:rsidRPr="00C95CA8">
              <w:rPr>
                <w:bCs/>
                <w:color w:val="000000"/>
                <w:sz w:val="22"/>
                <w:szCs w:val="22"/>
                <w:vertAlign w:val="superscript"/>
              </w:rPr>
              <w:t xml:space="preserve"> </w:t>
            </w: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603"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570"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609" w:type="dxa"/>
          </w:tcPr>
          <w:p w:rsidR="00F33837" w:rsidRPr="00C95CA8" w:rsidRDefault="00F33837" w:rsidP="00293503">
            <w:pPr>
              <w:jc w:val="center"/>
              <w:rPr>
                <w:color w:val="000000"/>
                <w:sz w:val="22"/>
                <w:szCs w:val="22"/>
              </w:rPr>
            </w:pPr>
          </w:p>
        </w:tc>
        <w:tc>
          <w:tcPr>
            <w:tcW w:w="482" w:type="dxa"/>
          </w:tcPr>
          <w:p w:rsidR="00F33837" w:rsidRPr="00C95CA8" w:rsidRDefault="00F33837" w:rsidP="00293503">
            <w:pPr>
              <w:jc w:val="center"/>
              <w:rPr>
                <w:color w:val="000000"/>
                <w:sz w:val="22"/>
                <w:szCs w:val="22"/>
              </w:rPr>
            </w:pPr>
          </w:p>
        </w:tc>
        <w:tc>
          <w:tcPr>
            <w:tcW w:w="572" w:type="dxa"/>
          </w:tcPr>
          <w:p w:rsidR="00F33837" w:rsidRPr="00C95CA8" w:rsidRDefault="00F33837" w:rsidP="00293503">
            <w:pPr>
              <w:jc w:val="center"/>
              <w:rPr>
                <w:color w:val="000000"/>
                <w:sz w:val="22"/>
                <w:szCs w:val="22"/>
              </w:rPr>
            </w:pPr>
          </w:p>
        </w:tc>
        <w:tc>
          <w:tcPr>
            <w:tcW w:w="508" w:type="dxa"/>
          </w:tcPr>
          <w:p w:rsidR="00F33837" w:rsidRPr="00C95CA8" w:rsidRDefault="00F33837" w:rsidP="00293503">
            <w:pPr>
              <w:jc w:val="center"/>
              <w:rPr>
                <w:color w:val="000000"/>
                <w:sz w:val="22"/>
                <w:szCs w:val="22"/>
              </w:rPr>
            </w:pPr>
          </w:p>
        </w:tc>
        <w:tc>
          <w:tcPr>
            <w:tcW w:w="508" w:type="dxa"/>
          </w:tcPr>
          <w:p w:rsidR="00F33837" w:rsidRPr="00C95CA8" w:rsidRDefault="00F33837" w:rsidP="00293503">
            <w:pPr>
              <w:jc w:val="center"/>
              <w:rPr>
                <w:color w:val="000000"/>
                <w:sz w:val="22"/>
                <w:szCs w:val="22"/>
              </w:rPr>
            </w:pPr>
          </w:p>
        </w:tc>
        <w:tc>
          <w:tcPr>
            <w:tcW w:w="508" w:type="dxa"/>
          </w:tcPr>
          <w:p w:rsidR="00F33837" w:rsidRPr="00C95CA8" w:rsidRDefault="00F33837" w:rsidP="00293503">
            <w:pPr>
              <w:jc w:val="center"/>
              <w:rPr>
                <w:color w:val="000000"/>
                <w:sz w:val="22"/>
                <w:szCs w:val="22"/>
              </w:rPr>
            </w:pPr>
          </w:p>
        </w:tc>
      </w:tr>
      <w:tr w:rsidR="00F33837" w:rsidRPr="00C95CA8" w:rsidTr="000350CF">
        <w:trPr>
          <w:trHeight w:val="330"/>
          <w:jc w:val="center"/>
        </w:trPr>
        <w:tc>
          <w:tcPr>
            <w:tcW w:w="2970" w:type="dxa"/>
            <w:shd w:val="clear" w:color="auto" w:fill="auto"/>
            <w:noWrap/>
            <w:vAlign w:val="bottom"/>
          </w:tcPr>
          <w:p w:rsidR="00F33837" w:rsidRPr="00C95CA8" w:rsidRDefault="00F33837" w:rsidP="00293503">
            <w:pPr>
              <w:rPr>
                <w:bCs/>
                <w:color w:val="000000"/>
                <w:sz w:val="22"/>
                <w:szCs w:val="22"/>
              </w:rPr>
            </w:pPr>
            <w:r w:rsidRPr="00C95CA8">
              <w:rPr>
                <w:bCs/>
                <w:color w:val="000000"/>
                <w:sz w:val="22"/>
                <w:szCs w:val="22"/>
              </w:rPr>
              <w:t>No. of third year students</w:t>
            </w:r>
            <w:r w:rsidRPr="00C95CA8">
              <w:rPr>
                <w:bCs/>
                <w:color w:val="000000"/>
                <w:sz w:val="22"/>
                <w:szCs w:val="22"/>
                <w:vertAlign w:val="superscript"/>
              </w:rPr>
              <w:t xml:space="preserve"> </w:t>
            </w: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603"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570"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609" w:type="dxa"/>
          </w:tcPr>
          <w:p w:rsidR="00F33837" w:rsidRPr="00C95CA8" w:rsidRDefault="00F33837" w:rsidP="00293503">
            <w:pPr>
              <w:jc w:val="center"/>
              <w:rPr>
                <w:color w:val="000000"/>
                <w:sz w:val="22"/>
                <w:szCs w:val="22"/>
              </w:rPr>
            </w:pPr>
          </w:p>
        </w:tc>
        <w:tc>
          <w:tcPr>
            <w:tcW w:w="482" w:type="dxa"/>
          </w:tcPr>
          <w:p w:rsidR="00F33837" w:rsidRPr="00C95CA8" w:rsidRDefault="00F33837" w:rsidP="00293503">
            <w:pPr>
              <w:jc w:val="center"/>
              <w:rPr>
                <w:color w:val="000000"/>
                <w:sz w:val="22"/>
                <w:szCs w:val="22"/>
              </w:rPr>
            </w:pPr>
          </w:p>
        </w:tc>
        <w:tc>
          <w:tcPr>
            <w:tcW w:w="572" w:type="dxa"/>
          </w:tcPr>
          <w:p w:rsidR="00F33837" w:rsidRPr="00C95CA8" w:rsidRDefault="00F33837" w:rsidP="00293503">
            <w:pPr>
              <w:jc w:val="center"/>
              <w:rPr>
                <w:color w:val="000000"/>
                <w:sz w:val="22"/>
                <w:szCs w:val="22"/>
              </w:rPr>
            </w:pPr>
          </w:p>
        </w:tc>
        <w:tc>
          <w:tcPr>
            <w:tcW w:w="508" w:type="dxa"/>
          </w:tcPr>
          <w:p w:rsidR="00F33837" w:rsidRPr="00C95CA8" w:rsidRDefault="00F33837" w:rsidP="00293503">
            <w:pPr>
              <w:jc w:val="center"/>
              <w:rPr>
                <w:color w:val="000000"/>
                <w:sz w:val="22"/>
                <w:szCs w:val="22"/>
              </w:rPr>
            </w:pPr>
          </w:p>
        </w:tc>
        <w:tc>
          <w:tcPr>
            <w:tcW w:w="508" w:type="dxa"/>
          </w:tcPr>
          <w:p w:rsidR="00F33837" w:rsidRPr="00C95CA8" w:rsidRDefault="00F33837" w:rsidP="00293503">
            <w:pPr>
              <w:jc w:val="center"/>
              <w:rPr>
                <w:color w:val="000000"/>
                <w:sz w:val="22"/>
                <w:szCs w:val="22"/>
              </w:rPr>
            </w:pPr>
          </w:p>
        </w:tc>
        <w:tc>
          <w:tcPr>
            <w:tcW w:w="508" w:type="dxa"/>
          </w:tcPr>
          <w:p w:rsidR="00F33837" w:rsidRPr="00C95CA8" w:rsidRDefault="00F33837" w:rsidP="00293503">
            <w:pPr>
              <w:jc w:val="center"/>
              <w:rPr>
                <w:color w:val="000000"/>
                <w:sz w:val="22"/>
                <w:szCs w:val="22"/>
              </w:rPr>
            </w:pPr>
          </w:p>
        </w:tc>
      </w:tr>
      <w:tr w:rsidR="00F33837" w:rsidRPr="00C95CA8" w:rsidTr="000350CF">
        <w:trPr>
          <w:trHeight w:val="330"/>
          <w:jc w:val="center"/>
        </w:trPr>
        <w:tc>
          <w:tcPr>
            <w:tcW w:w="2970" w:type="dxa"/>
            <w:shd w:val="clear" w:color="auto" w:fill="auto"/>
            <w:noWrap/>
            <w:vAlign w:val="bottom"/>
          </w:tcPr>
          <w:p w:rsidR="00F33837" w:rsidRPr="00C95CA8" w:rsidRDefault="00F33837" w:rsidP="00293503">
            <w:pPr>
              <w:rPr>
                <w:bCs/>
                <w:color w:val="000000"/>
                <w:sz w:val="22"/>
                <w:szCs w:val="22"/>
              </w:rPr>
            </w:pPr>
            <w:r w:rsidRPr="00C95CA8">
              <w:rPr>
                <w:bCs/>
                <w:color w:val="000000"/>
                <w:sz w:val="22"/>
                <w:szCs w:val="22"/>
              </w:rPr>
              <w:t>No. of fourth year students</w:t>
            </w:r>
            <w:r w:rsidRPr="00C95CA8">
              <w:rPr>
                <w:bCs/>
                <w:color w:val="000000"/>
                <w:sz w:val="22"/>
                <w:szCs w:val="22"/>
                <w:vertAlign w:val="superscript"/>
              </w:rPr>
              <w:t xml:space="preserve"> </w:t>
            </w: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603"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570"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609" w:type="dxa"/>
          </w:tcPr>
          <w:p w:rsidR="00F33837" w:rsidRPr="00C95CA8" w:rsidRDefault="00F33837" w:rsidP="00293503">
            <w:pPr>
              <w:jc w:val="center"/>
              <w:rPr>
                <w:color w:val="000000"/>
                <w:sz w:val="22"/>
                <w:szCs w:val="22"/>
              </w:rPr>
            </w:pPr>
          </w:p>
        </w:tc>
        <w:tc>
          <w:tcPr>
            <w:tcW w:w="482" w:type="dxa"/>
          </w:tcPr>
          <w:p w:rsidR="00F33837" w:rsidRPr="00C95CA8" w:rsidRDefault="00F33837" w:rsidP="00293503">
            <w:pPr>
              <w:jc w:val="center"/>
              <w:rPr>
                <w:color w:val="000000"/>
                <w:sz w:val="22"/>
                <w:szCs w:val="22"/>
              </w:rPr>
            </w:pPr>
          </w:p>
        </w:tc>
        <w:tc>
          <w:tcPr>
            <w:tcW w:w="572" w:type="dxa"/>
          </w:tcPr>
          <w:p w:rsidR="00F33837" w:rsidRPr="00C95CA8" w:rsidRDefault="00F33837" w:rsidP="00293503">
            <w:pPr>
              <w:jc w:val="center"/>
              <w:rPr>
                <w:color w:val="000000"/>
                <w:sz w:val="22"/>
                <w:szCs w:val="22"/>
              </w:rPr>
            </w:pPr>
          </w:p>
        </w:tc>
        <w:tc>
          <w:tcPr>
            <w:tcW w:w="508" w:type="dxa"/>
          </w:tcPr>
          <w:p w:rsidR="00F33837" w:rsidRPr="00C95CA8" w:rsidRDefault="00F33837" w:rsidP="00293503">
            <w:pPr>
              <w:jc w:val="center"/>
              <w:rPr>
                <w:color w:val="000000"/>
                <w:sz w:val="22"/>
                <w:szCs w:val="22"/>
              </w:rPr>
            </w:pPr>
          </w:p>
        </w:tc>
        <w:tc>
          <w:tcPr>
            <w:tcW w:w="508" w:type="dxa"/>
          </w:tcPr>
          <w:p w:rsidR="00F33837" w:rsidRPr="00C95CA8" w:rsidRDefault="00F33837" w:rsidP="00293503">
            <w:pPr>
              <w:jc w:val="center"/>
              <w:rPr>
                <w:color w:val="000000"/>
                <w:sz w:val="22"/>
                <w:szCs w:val="22"/>
              </w:rPr>
            </w:pPr>
          </w:p>
        </w:tc>
        <w:tc>
          <w:tcPr>
            <w:tcW w:w="508" w:type="dxa"/>
          </w:tcPr>
          <w:p w:rsidR="00F33837" w:rsidRPr="00C95CA8" w:rsidRDefault="00F33837" w:rsidP="00293503">
            <w:pPr>
              <w:jc w:val="center"/>
              <w:rPr>
                <w:color w:val="000000"/>
                <w:sz w:val="22"/>
                <w:szCs w:val="22"/>
              </w:rPr>
            </w:pPr>
          </w:p>
        </w:tc>
      </w:tr>
      <w:tr w:rsidR="00F33837" w:rsidRPr="00C95CA8" w:rsidTr="000350CF">
        <w:trPr>
          <w:trHeight w:val="330"/>
          <w:jc w:val="center"/>
        </w:trPr>
        <w:tc>
          <w:tcPr>
            <w:tcW w:w="2970" w:type="dxa"/>
            <w:shd w:val="clear" w:color="auto" w:fill="auto"/>
            <w:noWrap/>
            <w:vAlign w:val="bottom"/>
          </w:tcPr>
          <w:p w:rsidR="00F33837" w:rsidRPr="00C95CA8" w:rsidRDefault="00F33837" w:rsidP="00293503">
            <w:pPr>
              <w:rPr>
                <w:bCs/>
                <w:color w:val="000000"/>
                <w:sz w:val="22"/>
                <w:szCs w:val="22"/>
              </w:rPr>
            </w:pPr>
            <w:r w:rsidRPr="00C95CA8">
              <w:rPr>
                <w:bCs/>
                <w:color w:val="000000"/>
                <w:sz w:val="22"/>
                <w:szCs w:val="22"/>
              </w:rPr>
              <w:t>total number in program</w:t>
            </w: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603"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570"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482" w:type="dxa"/>
            <w:shd w:val="clear" w:color="auto" w:fill="auto"/>
            <w:noWrap/>
            <w:tcMar>
              <w:left w:w="29" w:type="dxa"/>
              <w:right w:w="29" w:type="dxa"/>
            </w:tcMar>
            <w:vAlign w:val="bottom"/>
          </w:tcPr>
          <w:p w:rsidR="00F33837" w:rsidRPr="00C95CA8" w:rsidRDefault="00F33837" w:rsidP="00293503">
            <w:pPr>
              <w:jc w:val="center"/>
              <w:rPr>
                <w:color w:val="000000"/>
                <w:sz w:val="22"/>
                <w:szCs w:val="22"/>
              </w:rPr>
            </w:pPr>
          </w:p>
        </w:tc>
        <w:tc>
          <w:tcPr>
            <w:tcW w:w="609" w:type="dxa"/>
          </w:tcPr>
          <w:p w:rsidR="00F33837" w:rsidRPr="00C95CA8" w:rsidRDefault="00F33837" w:rsidP="00293503">
            <w:pPr>
              <w:jc w:val="center"/>
              <w:rPr>
                <w:color w:val="000000"/>
                <w:sz w:val="22"/>
                <w:szCs w:val="22"/>
              </w:rPr>
            </w:pPr>
          </w:p>
        </w:tc>
        <w:tc>
          <w:tcPr>
            <w:tcW w:w="482" w:type="dxa"/>
          </w:tcPr>
          <w:p w:rsidR="00F33837" w:rsidRPr="00C95CA8" w:rsidRDefault="00F33837" w:rsidP="00293503">
            <w:pPr>
              <w:jc w:val="center"/>
              <w:rPr>
                <w:color w:val="000000"/>
                <w:sz w:val="22"/>
                <w:szCs w:val="22"/>
              </w:rPr>
            </w:pPr>
          </w:p>
        </w:tc>
        <w:tc>
          <w:tcPr>
            <w:tcW w:w="572" w:type="dxa"/>
          </w:tcPr>
          <w:p w:rsidR="00F33837" w:rsidRPr="00C95CA8" w:rsidRDefault="00F33837" w:rsidP="00293503">
            <w:pPr>
              <w:jc w:val="center"/>
              <w:rPr>
                <w:color w:val="000000"/>
                <w:sz w:val="22"/>
                <w:szCs w:val="22"/>
              </w:rPr>
            </w:pPr>
          </w:p>
        </w:tc>
        <w:tc>
          <w:tcPr>
            <w:tcW w:w="508" w:type="dxa"/>
          </w:tcPr>
          <w:p w:rsidR="00F33837" w:rsidRPr="00C95CA8" w:rsidRDefault="00F33837" w:rsidP="00293503">
            <w:pPr>
              <w:jc w:val="center"/>
              <w:rPr>
                <w:color w:val="000000"/>
                <w:sz w:val="22"/>
                <w:szCs w:val="22"/>
              </w:rPr>
            </w:pPr>
          </w:p>
        </w:tc>
        <w:tc>
          <w:tcPr>
            <w:tcW w:w="508" w:type="dxa"/>
          </w:tcPr>
          <w:p w:rsidR="00F33837" w:rsidRPr="00C95CA8" w:rsidRDefault="00F33837" w:rsidP="00293503">
            <w:pPr>
              <w:jc w:val="center"/>
              <w:rPr>
                <w:color w:val="000000"/>
                <w:sz w:val="22"/>
                <w:szCs w:val="22"/>
              </w:rPr>
            </w:pPr>
          </w:p>
        </w:tc>
        <w:tc>
          <w:tcPr>
            <w:tcW w:w="508" w:type="dxa"/>
          </w:tcPr>
          <w:p w:rsidR="00F33837" w:rsidRPr="00C95CA8" w:rsidRDefault="00F33837" w:rsidP="00293503">
            <w:pPr>
              <w:jc w:val="center"/>
              <w:rPr>
                <w:color w:val="000000"/>
                <w:sz w:val="22"/>
                <w:szCs w:val="22"/>
              </w:rPr>
            </w:pPr>
          </w:p>
        </w:tc>
      </w:tr>
    </w:tbl>
    <w:p w:rsidR="00296CA3" w:rsidRPr="00C95CA8" w:rsidRDefault="00296CA3" w:rsidP="00296CA3">
      <w:pPr>
        <w:ind w:left="432"/>
        <w:rPr>
          <w:sz w:val="20"/>
          <w:szCs w:val="20"/>
        </w:rPr>
      </w:pPr>
      <w:r w:rsidRPr="00C95CA8">
        <w:rPr>
          <w:sz w:val="20"/>
          <w:szCs w:val="20"/>
          <w:vertAlign w:val="superscript"/>
        </w:rPr>
        <w:t>7</w:t>
      </w:r>
      <w:r w:rsidRPr="00C95CA8">
        <w:rPr>
          <w:sz w:val="20"/>
          <w:szCs w:val="20"/>
        </w:rPr>
        <w:t>Numbers are based on third week enrollment data.</w:t>
      </w:r>
    </w:p>
    <w:p w:rsidR="00296CA3" w:rsidRPr="00C95CA8" w:rsidRDefault="00296CA3" w:rsidP="00296CA3">
      <w:pPr>
        <w:ind w:left="432"/>
        <w:rPr>
          <w:sz w:val="20"/>
          <w:szCs w:val="20"/>
        </w:rPr>
      </w:pPr>
      <w:r w:rsidRPr="00C95CA8">
        <w:rPr>
          <w:sz w:val="20"/>
          <w:szCs w:val="20"/>
          <w:vertAlign w:val="superscript"/>
        </w:rPr>
        <w:t>8</w:t>
      </w:r>
      <w:r w:rsidRPr="00C95CA8">
        <w:rPr>
          <w:sz w:val="20"/>
          <w:szCs w:val="20"/>
        </w:rPr>
        <w:t>A student’s “year” is defined by the number of credits they have completed in the following manner:</w:t>
      </w:r>
    </w:p>
    <w:p w:rsidR="00296CA3" w:rsidRPr="00C95CA8" w:rsidRDefault="00296CA3" w:rsidP="00296CA3">
      <w:pPr>
        <w:ind w:left="432"/>
        <w:rPr>
          <w:sz w:val="20"/>
          <w:szCs w:val="20"/>
        </w:rPr>
      </w:pPr>
      <w:r w:rsidRPr="00C95CA8">
        <w:rPr>
          <w:sz w:val="20"/>
          <w:szCs w:val="20"/>
        </w:rPr>
        <w:tab/>
        <w:t>≤ 29.9 = First Year;</w:t>
      </w:r>
      <w:r w:rsidRPr="00C95CA8">
        <w:rPr>
          <w:sz w:val="20"/>
          <w:szCs w:val="20"/>
        </w:rPr>
        <w:tab/>
        <w:t>30 – 59.5 = Second Year;</w:t>
      </w:r>
      <w:r w:rsidRPr="00C95CA8">
        <w:rPr>
          <w:sz w:val="20"/>
          <w:szCs w:val="20"/>
        </w:rPr>
        <w:tab/>
        <w:t>60 – 89.5 = Third Year;</w:t>
      </w:r>
      <w:r w:rsidRPr="00C95CA8">
        <w:rPr>
          <w:sz w:val="20"/>
          <w:szCs w:val="20"/>
        </w:rPr>
        <w:tab/>
        <w:t>≥ 90 = Fourth Year;</w:t>
      </w:r>
    </w:p>
    <w:p w:rsidR="00296CA3" w:rsidRPr="00C95CA8" w:rsidRDefault="00296CA3" w:rsidP="00296CA3">
      <w:pPr>
        <w:ind w:left="432"/>
        <w:rPr>
          <w:rFonts w:ascii="Arial" w:hAnsi="Arial" w:cs="Arial"/>
        </w:rPr>
      </w:pPr>
      <w:r w:rsidRPr="00C95CA8">
        <w:rPr>
          <w:sz w:val="20"/>
          <w:szCs w:val="20"/>
        </w:rPr>
        <w:t>Note that this considers all credits, not only those that count toward degree completion.</w:t>
      </w:r>
    </w:p>
    <w:p w:rsidR="009D06D3" w:rsidRPr="00C95CA8" w:rsidRDefault="009D06D3" w:rsidP="00B614BE">
      <w:pPr>
        <w:ind w:left="576"/>
      </w:pPr>
    </w:p>
    <w:p w:rsidR="00E871D4" w:rsidRPr="00C95CA8" w:rsidRDefault="00E871D4" w:rsidP="00233964">
      <w:pPr>
        <w:ind w:left="576"/>
      </w:pPr>
    </w:p>
    <w:p w:rsidR="00233964" w:rsidRPr="00C95CA8" w:rsidRDefault="001073FD" w:rsidP="00233964">
      <w:pPr>
        <w:spacing w:after="120"/>
        <w:ind w:left="576" w:hanging="288"/>
        <w:rPr>
          <w:b/>
          <w:i/>
          <w:sz w:val="28"/>
          <w:szCs w:val="28"/>
        </w:rPr>
      </w:pPr>
      <w:r w:rsidRPr="00C95CA8">
        <w:rPr>
          <w:b/>
          <w:i/>
          <w:sz w:val="28"/>
          <w:szCs w:val="28"/>
        </w:rPr>
        <w:t>G</w:t>
      </w:r>
      <w:r w:rsidR="00AC0B73" w:rsidRPr="00C95CA8">
        <w:rPr>
          <w:b/>
          <w:i/>
          <w:sz w:val="28"/>
          <w:szCs w:val="28"/>
        </w:rPr>
        <w:t>. Student Retention</w:t>
      </w:r>
    </w:p>
    <w:p w:rsidR="00296CA3" w:rsidRPr="00C95CA8" w:rsidRDefault="00296CA3" w:rsidP="00296CA3"/>
    <w:p w:rsidR="00296CA3" w:rsidRPr="00C95CA8" w:rsidRDefault="00296CA3" w:rsidP="00296CA3">
      <w:pPr>
        <w:ind w:left="720"/>
        <w:rPr>
          <w:i/>
        </w:rPr>
      </w:pPr>
      <w:r w:rsidRPr="00C95CA8">
        <w:t xml:space="preserve">Table 15.  Retention and Graduation Trends </w:t>
      </w:r>
      <w:r w:rsidRPr="00C95CA8">
        <w:rPr>
          <w:i/>
        </w:rPr>
        <w:t>[</w:t>
      </w:r>
      <w:r w:rsidRPr="00C95CA8">
        <w:rPr>
          <w:b/>
          <w:i/>
        </w:rPr>
        <w:t>IR updates yearly</w:t>
      </w:r>
      <w:r w:rsidRPr="00C95CA8">
        <w:rPr>
          <w:i/>
        </w:rPr>
        <w:t>]</w:t>
      </w:r>
    </w:p>
    <w:p w:rsidR="00296CA3" w:rsidRPr="00C95CA8" w:rsidRDefault="00296CA3" w:rsidP="00296CA3">
      <w:pPr>
        <w:ind w:left="720"/>
        <w:rPr>
          <w:i/>
        </w:rPr>
      </w:pPr>
    </w:p>
    <w:p w:rsidR="00296CA3" w:rsidRDefault="00296CA3" w:rsidP="00296CA3">
      <w:pPr>
        <w:ind w:left="576"/>
      </w:pPr>
      <w:r w:rsidRPr="00C95CA8">
        <w:tab/>
      </w:r>
      <w:r w:rsidRPr="00C95CA8">
        <w:tab/>
        <w:t>Table 15a. Recent Cohort Enrollments</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3420"/>
        <w:gridCol w:w="696"/>
        <w:gridCol w:w="696"/>
        <w:gridCol w:w="702"/>
        <w:gridCol w:w="696"/>
        <w:gridCol w:w="696"/>
        <w:gridCol w:w="720"/>
        <w:gridCol w:w="720"/>
      </w:tblGrid>
      <w:tr w:rsidR="00F33837" w:rsidRPr="00157F35" w:rsidTr="00F33837">
        <w:trPr>
          <w:jc w:val="center"/>
        </w:trPr>
        <w:tc>
          <w:tcPr>
            <w:tcW w:w="1590" w:type="dxa"/>
            <w:tcBorders>
              <w:top w:val="nil"/>
              <w:left w:val="nil"/>
              <w:bottom w:val="single" w:sz="4" w:space="0" w:color="auto"/>
              <w:right w:val="nil"/>
            </w:tcBorders>
            <w:shd w:val="clear" w:color="auto" w:fill="auto"/>
            <w:noWrap/>
            <w:vAlign w:val="center"/>
          </w:tcPr>
          <w:p w:rsidR="00F33837" w:rsidRPr="007827D6" w:rsidRDefault="00F33837" w:rsidP="00293503">
            <w:pPr>
              <w:jc w:val="center"/>
              <w:rPr>
                <w:bCs/>
                <w:color w:val="000000"/>
              </w:rPr>
            </w:pPr>
          </w:p>
        </w:tc>
        <w:tc>
          <w:tcPr>
            <w:tcW w:w="3420" w:type="dxa"/>
            <w:tcBorders>
              <w:top w:val="nil"/>
              <w:left w:val="nil"/>
              <w:bottom w:val="nil"/>
              <w:right w:val="single" w:sz="4" w:space="0" w:color="auto"/>
            </w:tcBorders>
          </w:tcPr>
          <w:p w:rsidR="00F33837" w:rsidRDefault="00F33837" w:rsidP="00293503">
            <w:pPr>
              <w:jc w:val="center"/>
              <w:rPr>
                <w:b/>
                <w:bCs/>
                <w:color w:val="000000"/>
              </w:rPr>
            </w:pPr>
          </w:p>
        </w:tc>
        <w:tc>
          <w:tcPr>
            <w:tcW w:w="696" w:type="dxa"/>
            <w:tcBorders>
              <w:bottom w:val="single" w:sz="4" w:space="0" w:color="auto"/>
            </w:tcBorders>
            <w:shd w:val="clear" w:color="auto" w:fill="auto"/>
            <w:noWrap/>
            <w:vAlign w:val="bottom"/>
          </w:tcPr>
          <w:p w:rsidR="00F33837" w:rsidRPr="00F839DF" w:rsidRDefault="00F33837" w:rsidP="00293503">
            <w:pPr>
              <w:jc w:val="center"/>
              <w:rPr>
                <w:b/>
                <w:bCs/>
                <w:color w:val="000000"/>
              </w:rPr>
            </w:pPr>
            <w:r w:rsidRPr="00F839DF">
              <w:rPr>
                <w:b/>
                <w:bCs/>
                <w:color w:val="000000"/>
              </w:rPr>
              <w:t xml:space="preserve">Fall </w:t>
            </w:r>
            <w:r>
              <w:rPr>
                <w:b/>
                <w:bCs/>
                <w:color w:val="000000"/>
              </w:rPr>
              <w:t>2018</w:t>
            </w:r>
          </w:p>
        </w:tc>
        <w:tc>
          <w:tcPr>
            <w:tcW w:w="696" w:type="dxa"/>
            <w:tcBorders>
              <w:bottom w:val="single" w:sz="4" w:space="0" w:color="auto"/>
            </w:tcBorders>
            <w:shd w:val="clear" w:color="auto" w:fill="auto"/>
            <w:noWrap/>
            <w:vAlign w:val="bottom"/>
          </w:tcPr>
          <w:p w:rsidR="00F33837" w:rsidRPr="00F839DF" w:rsidRDefault="00F33837" w:rsidP="00293503">
            <w:pPr>
              <w:jc w:val="center"/>
              <w:rPr>
                <w:b/>
                <w:bCs/>
                <w:color w:val="000000"/>
              </w:rPr>
            </w:pPr>
            <w:r w:rsidRPr="00F839DF">
              <w:rPr>
                <w:b/>
                <w:bCs/>
                <w:color w:val="000000"/>
              </w:rPr>
              <w:t xml:space="preserve">Fall </w:t>
            </w:r>
            <w:r>
              <w:rPr>
                <w:b/>
                <w:bCs/>
                <w:color w:val="000000"/>
              </w:rPr>
              <w:t>2019</w:t>
            </w:r>
          </w:p>
        </w:tc>
        <w:tc>
          <w:tcPr>
            <w:tcW w:w="702" w:type="dxa"/>
            <w:tcBorders>
              <w:bottom w:val="single" w:sz="4" w:space="0" w:color="auto"/>
            </w:tcBorders>
            <w:shd w:val="clear" w:color="auto" w:fill="auto"/>
            <w:noWrap/>
            <w:vAlign w:val="bottom"/>
          </w:tcPr>
          <w:p w:rsidR="00F33837" w:rsidRPr="00F839DF" w:rsidRDefault="00F33837" w:rsidP="00293503">
            <w:pPr>
              <w:jc w:val="center"/>
              <w:rPr>
                <w:b/>
                <w:bCs/>
                <w:color w:val="000000"/>
              </w:rPr>
            </w:pPr>
            <w:r w:rsidRPr="00F839DF">
              <w:rPr>
                <w:b/>
                <w:bCs/>
                <w:color w:val="000000"/>
              </w:rPr>
              <w:t xml:space="preserve">Fall </w:t>
            </w:r>
            <w:r>
              <w:rPr>
                <w:b/>
                <w:bCs/>
                <w:color w:val="000000"/>
              </w:rPr>
              <w:t>2020</w:t>
            </w:r>
          </w:p>
        </w:tc>
        <w:tc>
          <w:tcPr>
            <w:tcW w:w="696" w:type="dxa"/>
            <w:tcBorders>
              <w:bottom w:val="single" w:sz="4" w:space="0" w:color="auto"/>
            </w:tcBorders>
            <w:shd w:val="clear" w:color="auto" w:fill="auto"/>
            <w:noWrap/>
            <w:vAlign w:val="bottom"/>
          </w:tcPr>
          <w:p w:rsidR="00F33837" w:rsidRPr="00F839DF" w:rsidRDefault="00F33837" w:rsidP="00293503">
            <w:pPr>
              <w:jc w:val="center"/>
              <w:rPr>
                <w:b/>
                <w:bCs/>
                <w:color w:val="000000"/>
              </w:rPr>
            </w:pPr>
            <w:r w:rsidRPr="00F839DF">
              <w:rPr>
                <w:b/>
                <w:bCs/>
                <w:color w:val="000000"/>
              </w:rPr>
              <w:t xml:space="preserve">Fall </w:t>
            </w:r>
            <w:r>
              <w:rPr>
                <w:b/>
                <w:bCs/>
                <w:color w:val="000000"/>
              </w:rPr>
              <w:t>2021</w:t>
            </w:r>
          </w:p>
        </w:tc>
        <w:tc>
          <w:tcPr>
            <w:tcW w:w="696" w:type="dxa"/>
            <w:tcBorders>
              <w:bottom w:val="single" w:sz="4" w:space="0" w:color="auto"/>
            </w:tcBorders>
            <w:shd w:val="clear" w:color="auto" w:fill="auto"/>
            <w:noWrap/>
            <w:vAlign w:val="bottom"/>
          </w:tcPr>
          <w:p w:rsidR="00F33837" w:rsidRPr="00F839DF" w:rsidRDefault="00F33837" w:rsidP="00293503">
            <w:pPr>
              <w:jc w:val="center"/>
              <w:rPr>
                <w:b/>
                <w:bCs/>
                <w:color w:val="000000"/>
              </w:rPr>
            </w:pPr>
            <w:r w:rsidRPr="00F839DF">
              <w:rPr>
                <w:b/>
                <w:bCs/>
                <w:color w:val="000000"/>
              </w:rPr>
              <w:t xml:space="preserve">Fall </w:t>
            </w:r>
            <w:r>
              <w:rPr>
                <w:b/>
                <w:bCs/>
                <w:color w:val="000000"/>
              </w:rPr>
              <w:t>2022</w:t>
            </w:r>
          </w:p>
        </w:tc>
        <w:tc>
          <w:tcPr>
            <w:tcW w:w="720" w:type="dxa"/>
            <w:tcBorders>
              <w:bottom w:val="single" w:sz="4" w:space="0" w:color="auto"/>
            </w:tcBorders>
          </w:tcPr>
          <w:p w:rsidR="00F33837" w:rsidRPr="00F839DF" w:rsidRDefault="00F33837" w:rsidP="00293503">
            <w:pPr>
              <w:jc w:val="center"/>
              <w:rPr>
                <w:b/>
                <w:bCs/>
                <w:color w:val="000000"/>
              </w:rPr>
            </w:pPr>
            <w:r w:rsidRPr="00F839DF">
              <w:rPr>
                <w:b/>
                <w:bCs/>
                <w:color w:val="000000"/>
              </w:rPr>
              <w:t xml:space="preserve">Fall </w:t>
            </w:r>
            <w:r>
              <w:rPr>
                <w:b/>
                <w:bCs/>
                <w:color w:val="000000"/>
              </w:rPr>
              <w:t>2023</w:t>
            </w:r>
          </w:p>
        </w:tc>
        <w:tc>
          <w:tcPr>
            <w:tcW w:w="720" w:type="dxa"/>
            <w:tcBorders>
              <w:bottom w:val="single" w:sz="4" w:space="0" w:color="auto"/>
            </w:tcBorders>
          </w:tcPr>
          <w:p w:rsidR="00F33837" w:rsidRPr="00F839DF" w:rsidRDefault="00F33837" w:rsidP="00293503">
            <w:pPr>
              <w:jc w:val="center"/>
              <w:rPr>
                <w:b/>
                <w:bCs/>
                <w:color w:val="000000"/>
              </w:rPr>
            </w:pPr>
            <w:r>
              <w:rPr>
                <w:b/>
                <w:bCs/>
                <w:color w:val="000000"/>
              </w:rPr>
              <w:t>Fall 2024</w:t>
            </w:r>
          </w:p>
        </w:tc>
      </w:tr>
      <w:tr w:rsidR="00F33837" w:rsidRPr="00C95CA8" w:rsidTr="00F33837">
        <w:trPr>
          <w:trHeight w:val="330"/>
          <w:jc w:val="center"/>
        </w:trPr>
        <w:tc>
          <w:tcPr>
            <w:tcW w:w="5010" w:type="dxa"/>
            <w:gridSpan w:val="2"/>
            <w:tcBorders>
              <w:bottom w:val="single" w:sz="4" w:space="0" w:color="auto"/>
              <w:right w:val="single" w:sz="4" w:space="0" w:color="auto"/>
            </w:tcBorders>
            <w:shd w:val="clear" w:color="auto" w:fill="auto"/>
            <w:noWrap/>
            <w:vAlign w:val="center"/>
          </w:tcPr>
          <w:p w:rsidR="00F33837" w:rsidRPr="00C95CA8" w:rsidRDefault="00F33837" w:rsidP="00293503">
            <w:pPr>
              <w:rPr>
                <w:color w:val="000000"/>
              </w:rPr>
            </w:pPr>
            <w:r w:rsidRPr="00C95CA8">
              <w:rPr>
                <w:bCs/>
                <w:color w:val="000000"/>
              </w:rPr>
              <w:t>Initial Cohort Headcount</w:t>
            </w:r>
            <w:r w:rsidRPr="00C95CA8">
              <w:rPr>
                <w:bCs/>
                <w:color w:val="000000"/>
                <w:vertAlign w:val="superscript"/>
              </w:rPr>
              <w:t>9</w:t>
            </w:r>
          </w:p>
        </w:tc>
        <w:tc>
          <w:tcPr>
            <w:tcW w:w="696" w:type="dxa"/>
            <w:tcBorders>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left w:val="single" w:sz="4" w:space="0" w:color="auto"/>
              <w:bottom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left w:val="single" w:sz="4" w:space="0" w:color="auto"/>
              <w:bottom w:val="single" w:sz="4" w:space="0" w:color="auto"/>
            </w:tcBorders>
          </w:tcPr>
          <w:p w:rsidR="00F33837" w:rsidRPr="00C95CA8" w:rsidRDefault="00F33837" w:rsidP="00293503">
            <w:pPr>
              <w:jc w:val="center"/>
              <w:rPr>
                <w:color w:val="000000"/>
              </w:rPr>
            </w:pPr>
          </w:p>
        </w:tc>
        <w:tc>
          <w:tcPr>
            <w:tcW w:w="720" w:type="dxa"/>
            <w:tcBorders>
              <w:left w:val="single" w:sz="4" w:space="0" w:color="auto"/>
              <w:bottom w:val="single" w:sz="4" w:space="0" w:color="auto"/>
            </w:tcBorders>
          </w:tcPr>
          <w:p w:rsidR="00F33837" w:rsidRPr="00C95CA8" w:rsidRDefault="00F33837" w:rsidP="00293503">
            <w:pPr>
              <w:jc w:val="center"/>
              <w:rPr>
                <w:color w:val="000000"/>
              </w:rPr>
            </w:pPr>
          </w:p>
        </w:tc>
      </w:tr>
      <w:tr w:rsidR="00F33837" w:rsidRPr="00C95CA8" w:rsidTr="00F33837">
        <w:trPr>
          <w:trHeight w:val="330"/>
          <w:jc w:val="center"/>
        </w:trPr>
        <w:tc>
          <w:tcPr>
            <w:tcW w:w="1590" w:type="dxa"/>
            <w:tcBorders>
              <w:bottom w:val="nil"/>
              <w:right w:val="single" w:sz="4" w:space="0" w:color="auto"/>
            </w:tcBorders>
            <w:shd w:val="clear" w:color="auto" w:fill="auto"/>
            <w:noWrap/>
            <w:vAlign w:val="center"/>
          </w:tcPr>
          <w:p w:rsidR="00F33837" w:rsidRPr="00C95CA8" w:rsidRDefault="00F33837" w:rsidP="00293503">
            <w:pPr>
              <w:rPr>
                <w:bCs/>
                <w:color w:val="000000"/>
              </w:rPr>
            </w:pPr>
            <w:r w:rsidRPr="00C95CA8">
              <w:rPr>
                <w:bCs/>
                <w:color w:val="000000"/>
              </w:rPr>
              <w:t xml:space="preserve">After 1 year: </w:t>
            </w:r>
          </w:p>
        </w:tc>
        <w:tc>
          <w:tcPr>
            <w:tcW w:w="3420" w:type="dxa"/>
            <w:tcBorders>
              <w:top w:val="nil"/>
              <w:bottom w:val="nil"/>
              <w:right w:val="single" w:sz="4" w:space="0" w:color="auto"/>
            </w:tcBorders>
            <w:shd w:val="clear" w:color="auto" w:fill="auto"/>
            <w:vAlign w:val="center"/>
          </w:tcPr>
          <w:p w:rsidR="00F33837" w:rsidRPr="00C95CA8" w:rsidRDefault="00F33837" w:rsidP="00293503">
            <w:pPr>
              <w:rPr>
                <w:bCs/>
                <w:color w:val="000000"/>
                <w:vertAlign w:val="superscript"/>
              </w:rPr>
            </w:pPr>
            <w:r w:rsidRPr="00C95CA8">
              <w:rPr>
                <w:bCs/>
                <w:color w:val="000000"/>
              </w:rPr>
              <w:t>No. of cohort still in program.</w:t>
            </w:r>
            <w:r w:rsidRPr="00C95CA8">
              <w:rPr>
                <w:bCs/>
                <w:color w:val="000000"/>
                <w:vertAlign w:val="superscript"/>
              </w:rPr>
              <w:t>10</w:t>
            </w: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left w:val="single" w:sz="4" w:space="0" w:color="auto"/>
              <w:bottom w:val="nil"/>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left w:val="single" w:sz="4" w:space="0" w:color="auto"/>
              <w:bottom w:val="nil"/>
            </w:tcBorders>
          </w:tcPr>
          <w:p w:rsidR="00F33837" w:rsidRPr="00C95CA8" w:rsidRDefault="00F33837" w:rsidP="00293503">
            <w:pPr>
              <w:jc w:val="center"/>
              <w:rPr>
                <w:color w:val="000000"/>
              </w:rPr>
            </w:pPr>
          </w:p>
        </w:tc>
        <w:tc>
          <w:tcPr>
            <w:tcW w:w="720" w:type="dxa"/>
            <w:tcBorders>
              <w:left w:val="single" w:sz="4" w:space="0" w:color="auto"/>
              <w:bottom w:val="nil"/>
            </w:tcBorders>
          </w:tcPr>
          <w:p w:rsidR="00F33837" w:rsidRPr="00C95CA8" w:rsidRDefault="00F33837" w:rsidP="00293503">
            <w:pPr>
              <w:jc w:val="center"/>
              <w:rPr>
                <w:color w:val="000000"/>
              </w:rPr>
            </w:pPr>
          </w:p>
        </w:tc>
      </w:tr>
      <w:tr w:rsidR="00F33837" w:rsidRPr="00C95CA8" w:rsidTr="00F33837">
        <w:trPr>
          <w:trHeight w:val="330"/>
          <w:jc w:val="center"/>
        </w:trPr>
        <w:tc>
          <w:tcPr>
            <w:tcW w:w="1590" w:type="dxa"/>
            <w:tcBorders>
              <w:top w:val="nil"/>
              <w:bottom w:val="nil"/>
              <w:right w:val="single" w:sz="4" w:space="0" w:color="auto"/>
            </w:tcBorders>
            <w:shd w:val="clear" w:color="auto" w:fill="auto"/>
            <w:noWrap/>
            <w:vAlign w:val="center"/>
          </w:tcPr>
          <w:p w:rsidR="00F33837" w:rsidRPr="00C95CA8" w:rsidRDefault="00F33837" w:rsidP="00293503">
            <w:pPr>
              <w:rPr>
                <w:bCs/>
                <w:color w:val="000000"/>
              </w:rPr>
            </w:pPr>
          </w:p>
        </w:tc>
        <w:tc>
          <w:tcPr>
            <w:tcW w:w="3420" w:type="dxa"/>
            <w:tcBorders>
              <w:top w:val="nil"/>
              <w:bottom w:val="nil"/>
              <w:right w:val="single" w:sz="4" w:space="0" w:color="auto"/>
            </w:tcBorders>
            <w:shd w:val="clear" w:color="auto" w:fill="auto"/>
            <w:vAlign w:val="center"/>
          </w:tcPr>
          <w:p w:rsidR="00F33837" w:rsidRPr="00C95CA8" w:rsidRDefault="00F33837" w:rsidP="00293503">
            <w:pPr>
              <w:rPr>
                <w:bCs/>
                <w:color w:val="000000"/>
              </w:rPr>
            </w:pPr>
            <w:r w:rsidRPr="00C95CA8">
              <w:rPr>
                <w:bCs/>
                <w:color w:val="000000"/>
              </w:rPr>
              <w:t>No. of cohort still at Cobleskill.</w:t>
            </w: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top w:val="nil"/>
              <w:left w:val="single" w:sz="4" w:space="0" w:color="auto"/>
              <w:bottom w:val="nil"/>
            </w:tcBorders>
          </w:tcPr>
          <w:p w:rsidR="00F33837" w:rsidRPr="00C95CA8" w:rsidRDefault="00F33837" w:rsidP="00293503">
            <w:pPr>
              <w:jc w:val="center"/>
              <w:rPr>
                <w:color w:val="000000"/>
              </w:rPr>
            </w:pPr>
          </w:p>
        </w:tc>
        <w:tc>
          <w:tcPr>
            <w:tcW w:w="720" w:type="dxa"/>
            <w:tcBorders>
              <w:top w:val="nil"/>
              <w:left w:val="single" w:sz="4" w:space="0" w:color="auto"/>
              <w:bottom w:val="nil"/>
            </w:tcBorders>
          </w:tcPr>
          <w:p w:rsidR="00F33837" w:rsidRPr="00C95CA8" w:rsidRDefault="00F33837" w:rsidP="00293503">
            <w:pPr>
              <w:jc w:val="center"/>
              <w:rPr>
                <w:color w:val="000000"/>
              </w:rPr>
            </w:pPr>
          </w:p>
        </w:tc>
      </w:tr>
      <w:tr w:rsidR="00F33837" w:rsidRPr="00C95CA8" w:rsidTr="00F33837">
        <w:trPr>
          <w:trHeight w:val="330"/>
          <w:jc w:val="center"/>
        </w:trPr>
        <w:tc>
          <w:tcPr>
            <w:tcW w:w="1590" w:type="dxa"/>
            <w:tcBorders>
              <w:top w:val="nil"/>
              <w:bottom w:val="nil"/>
              <w:right w:val="single" w:sz="4" w:space="0" w:color="auto"/>
            </w:tcBorders>
            <w:shd w:val="clear" w:color="auto" w:fill="auto"/>
            <w:noWrap/>
            <w:vAlign w:val="center"/>
          </w:tcPr>
          <w:p w:rsidR="00F33837" w:rsidRPr="00C95CA8" w:rsidRDefault="00F33837" w:rsidP="00293503">
            <w:pPr>
              <w:rPr>
                <w:bCs/>
                <w:color w:val="000000"/>
              </w:rPr>
            </w:pPr>
          </w:p>
        </w:tc>
        <w:tc>
          <w:tcPr>
            <w:tcW w:w="3420" w:type="dxa"/>
            <w:tcBorders>
              <w:top w:val="nil"/>
              <w:bottom w:val="nil"/>
              <w:right w:val="single" w:sz="4" w:space="0" w:color="auto"/>
            </w:tcBorders>
            <w:shd w:val="clear" w:color="auto" w:fill="auto"/>
            <w:vAlign w:val="center"/>
          </w:tcPr>
          <w:p w:rsidR="00F33837" w:rsidRPr="00C95CA8" w:rsidRDefault="00F33837" w:rsidP="00293503">
            <w:pPr>
              <w:rPr>
                <w:bCs/>
                <w:color w:val="000000"/>
                <w:vertAlign w:val="superscript"/>
              </w:rPr>
            </w:pPr>
            <w:r w:rsidRPr="00C95CA8">
              <w:rPr>
                <w:bCs/>
                <w:color w:val="000000"/>
              </w:rPr>
              <w:t>% of cohort still in program.</w:t>
            </w:r>
            <w:r w:rsidRPr="00C95CA8">
              <w:rPr>
                <w:bCs/>
                <w:color w:val="000000"/>
                <w:vertAlign w:val="superscript"/>
              </w:rPr>
              <w:t>11</w:t>
            </w: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top w:val="nil"/>
              <w:left w:val="single" w:sz="4" w:space="0" w:color="auto"/>
              <w:bottom w:val="nil"/>
            </w:tcBorders>
          </w:tcPr>
          <w:p w:rsidR="00F33837" w:rsidRPr="00C95CA8" w:rsidRDefault="00F33837" w:rsidP="00293503">
            <w:pPr>
              <w:jc w:val="center"/>
              <w:rPr>
                <w:color w:val="000000"/>
              </w:rPr>
            </w:pPr>
          </w:p>
        </w:tc>
        <w:tc>
          <w:tcPr>
            <w:tcW w:w="720" w:type="dxa"/>
            <w:tcBorders>
              <w:top w:val="nil"/>
              <w:left w:val="single" w:sz="4" w:space="0" w:color="auto"/>
              <w:bottom w:val="nil"/>
            </w:tcBorders>
          </w:tcPr>
          <w:p w:rsidR="00F33837" w:rsidRPr="00C95CA8" w:rsidRDefault="00F33837" w:rsidP="00293503">
            <w:pPr>
              <w:jc w:val="center"/>
              <w:rPr>
                <w:color w:val="000000"/>
              </w:rPr>
            </w:pPr>
          </w:p>
        </w:tc>
      </w:tr>
      <w:tr w:rsidR="00F33837" w:rsidRPr="00C95CA8" w:rsidTr="00F33837">
        <w:trPr>
          <w:trHeight w:val="330"/>
          <w:jc w:val="center"/>
        </w:trPr>
        <w:tc>
          <w:tcPr>
            <w:tcW w:w="1590" w:type="dxa"/>
            <w:tcBorders>
              <w:top w:val="nil"/>
              <w:bottom w:val="single" w:sz="4" w:space="0" w:color="auto"/>
              <w:right w:val="single" w:sz="4" w:space="0" w:color="auto"/>
            </w:tcBorders>
            <w:shd w:val="clear" w:color="auto" w:fill="auto"/>
            <w:noWrap/>
            <w:vAlign w:val="center"/>
          </w:tcPr>
          <w:p w:rsidR="00F33837" w:rsidRPr="00C95CA8" w:rsidRDefault="00F33837" w:rsidP="00293503">
            <w:pPr>
              <w:rPr>
                <w:bCs/>
                <w:color w:val="000000"/>
              </w:rPr>
            </w:pPr>
          </w:p>
        </w:tc>
        <w:tc>
          <w:tcPr>
            <w:tcW w:w="3420" w:type="dxa"/>
            <w:tcBorders>
              <w:top w:val="nil"/>
              <w:bottom w:val="single" w:sz="4" w:space="0" w:color="auto"/>
              <w:right w:val="single" w:sz="4" w:space="0" w:color="auto"/>
            </w:tcBorders>
            <w:shd w:val="clear" w:color="auto" w:fill="auto"/>
            <w:vAlign w:val="center"/>
          </w:tcPr>
          <w:p w:rsidR="00F33837" w:rsidRPr="00C95CA8" w:rsidRDefault="00F33837" w:rsidP="00293503">
            <w:pPr>
              <w:rPr>
                <w:bCs/>
                <w:color w:val="000000"/>
              </w:rPr>
            </w:pPr>
            <w:r w:rsidRPr="00C95CA8">
              <w:rPr>
                <w:bCs/>
                <w:color w:val="000000"/>
              </w:rPr>
              <w:t>% of cohort still at Cobleskill.</w:t>
            </w: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top w:val="nil"/>
              <w:left w:val="single" w:sz="4" w:space="0" w:color="auto"/>
              <w:bottom w:val="single" w:sz="4" w:space="0" w:color="auto"/>
            </w:tcBorders>
          </w:tcPr>
          <w:p w:rsidR="00F33837" w:rsidRPr="00C95CA8" w:rsidRDefault="00F33837" w:rsidP="00293503">
            <w:pPr>
              <w:jc w:val="center"/>
              <w:rPr>
                <w:color w:val="000000"/>
              </w:rPr>
            </w:pPr>
          </w:p>
        </w:tc>
        <w:tc>
          <w:tcPr>
            <w:tcW w:w="720" w:type="dxa"/>
            <w:tcBorders>
              <w:top w:val="nil"/>
              <w:left w:val="single" w:sz="4" w:space="0" w:color="auto"/>
              <w:bottom w:val="single" w:sz="4" w:space="0" w:color="auto"/>
            </w:tcBorders>
          </w:tcPr>
          <w:p w:rsidR="00F33837" w:rsidRPr="00C95CA8" w:rsidRDefault="00F33837" w:rsidP="00293503">
            <w:pPr>
              <w:jc w:val="center"/>
              <w:rPr>
                <w:color w:val="000000"/>
              </w:rPr>
            </w:pPr>
          </w:p>
        </w:tc>
      </w:tr>
      <w:tr w:rsidR="00F33837" w:rsidRPr="00C95CA8" w:rsidTr="00F33837">
        <w:trPr>
          <w:trHeight w:val="330"/>
          <w:jc w:val="center"/>
        </w:trPr>
        <w:tc>
          <w:tcPr>
            <w:tcW w:w="1590" w:type="dxa"/>
            <w:tcBorders>
              <w:bottom w:val="nil"/>
              <w:right w:val="single" w:sz="4" w:space="0" w:color="auto"/>
            </w:tcBorders>
            <w:shd w:val="clear" w:color="auto" w:fill="auto"/>
            <w:noWrap/>
            <w:vAlign w:val="center"/>
          </w:tcPr>
          <w:p w:rsidR="00F33837" w:rsidRPr="00C95CA8" w:rsidRDefault="00F33837" w:rsidP="00293503">
            <w:pPr>
              <w:rPr>
                <w:bCs/>
                <w:color w:val="000000"/>
              </w:rPr>
            </w:pPr>
            <w:r w:rsidRPr="00C95CA8">
              <w:rPr>
                <w:bCs/>
                <w:color w:val="000000"/>
              </w:rPr>
              <w:t>After 2 years:</w:t>
            </w:r>
          </w:p>
        </w:tc>
        <w:tc>
          <w:tcPr>
            <w:tcW w:w="3420" w:type="dxa"/>
            <w:tcBorders>
              <w:top w:val="nil"/>
              <w:bottom w:val="nil"/>
              <w:right w:val="single" w:sz="4" w:space="0" w:color="auto"/>
            </w:tcBorders>
            <w:shd w:val="clear" w:color="auto" w:fill="auto"/>
            <w:vAlign w:val="center"/>
          </w:tcPr>
          <w:p w:rsidR="00F33837" w:rsidRPr="00C95CA8" w:rsidRDefault="00F33837" w:rsidP="00293503">
            <w:pPr>
              <w:rPr>
                <w:bCs/>
                <w:color w:val="000000"/>
              </w:rPr>
            </w:pPr>
            <w:r w:rsidRPr="00C95CA8">
              <w:rPr>
                <w:bCs/>
                <w:color w:val="000000"/>
              </w:rPr>
              <w:t>No. of cohort still in program.</w:t>
            </w: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left w:val="single" w:sz="4" w:space="0" w:color="auto"/>
              <w:bottom w:val="nil"/>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left w:val="single" w:sz="4" w:space="0" w:color="auto"/>
              <w:bottom w:val="nil"/>
            </w:tcBorders>
          </w:tcPr>
          <w:p w:rsidR="00F33837" w:rsidRPr="00C95CA8" w:rsidRDefault="00F33837" w:rsidP="00293503">
            <w:pPr>
              <w:jc w:val="center"/>
              <w:rPr>
                <w:color w:val="000000"/>
              </w:rPr>
            </w:pPr>
          </w:p>
        </w:tc>
        <w:tc>
          <w:tcPr>
            <w:tcW w:w="720" w:type="dxa"/>
            <w:tcBorders>
              <w:left w:val="single" w:sz="4" w:space="0" w:color="auto"/>
              <w:bottom w:val="nil"/>
            </w:tcBorders>
          </w:tcPr>
          <w:p w:rsidR="00F33837" w:rsidRPr="00C95CA8" w:rsidRDefault="00F33837" w:rsidP="00293503">
            <w:pPr>
              <w:jc w:val="center"/>
              <w:rPr>
                <w:color w:val="000000"/>
              </w:rPr>
            </w:pPr>
          </w:p>
        </w:tc>
      </w:tr>
      <w:tr w:rsidR="00F33837" w:rsidRPr="00C95CA8" w:rsidTr="00F33837">
        <w:trPr>
          <w:trHeight w:val="330"/>
          <w:jc w:val="center"/>
        </w:trPr>
        <w:tc>
          <w:tcPr>
            <w:tcW w:w="1590" w:type="dxa"/>
            <w:tcBorders>
              <w:top w:val="nil"/>
              <w:bottom w:val="nil"/>
              <w:right w:val="single" w:sz="4" w:space="0" w:color="auto"/>
            </w:tcBorders>
            <w:shd w:val="clear" w:color="auto" w:fill="auto"/>
            <w:noWrap/>
            <w:vAlign w:val="center"/>
          </w:tcPr>
          <w:p w:rsidR="00F33837" w:rsidRPr="00C95CA8" w:rsidRDefault="00F33837" w:rsidP="00293503">
            <w:pPr>
              <w:rPr>
                <w:bCs/>
                <w:color w:val="000000"/>
              </w:rPr>
            </w:pPr>
          </w:p>
        </w:tc>
        <w:tc>
          <w:tcPr>
            <w:tcW w:w="3420" w:type="dxa"/>
            <w:tcBorders>
              <w:top w:val="nil"/>
              <w:bottom w:val="nil"/>
              <w:right w:val="single" w:sz="4" w:space="0" w:color="auto"/>
            </w:tcBorders>
            <w:shd w:val="clear" w:color="auto" w:fill="auto"/>
            <w:vAlign w:val="center"/>
          </w:tcPr>
          <w:p w:rsidR="00F33837" w:rsidRPr="00C95CA8" w:rsidRDefault="00F33837" w:rsidP="00293503">
            <w:pPr>
              <w:rPr>
                <w:bCs/>
                <w:color w:val="000000"/>
              </w:rPr>
            </w:pPr>
            <w:r w:rsidRPr="00C95CA8">
              <w:rPr>
                <w:bCs/>
                <w:color w:val="000000"/>
              </w:rPr>
              <w:t>No. of cohort still at Cobleskill.</w:t>
            </w: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top w:val="nil"/>
              <w:left w:val="single" w:sz="4" w:space="0" w:color="auto"/>
              <w:bottom w:val="nil"/>
            </w:tcBorders>
          </w:tcPr>
          <w:p w:rsidR="00F33837" w:rsidRPr="00C95CA8" w:rsidRDefault="00F33837" w:rsidP="00293503">
            <w:pPr>
              <w:jc w:val="center"/>
              <w:rPr>
                <w:color w:val="000000"/>
              </w:rPr>
            </w:pPr>
          </w:p>
        </w:tc>
        <w:tc>
          <w:tcPr>
            <w:tcW w:w="720" w:type="dxa"/>
            <w:tcBorders>
              <w:top w:val="nil"/>
              <w:left w:val="single" w:sz="4" w:space="0" w:color="auto"/>
              <w:bottom w:val="nil"/>
            </w:tcBorders>
          </w:tcPr>
          <w:p w:rsidR="00F33837" w:rsidRPr="00C95CA8" w:rsidRDefault="00F33837" w:rsidP="00293503">
            <w:pPr>
              <w:jc w:val="center"/>
              <w:rPr>
                <w:color w:val="000000"/>
              </w:rPr>
            </w:pPr>
          </w:p>
        </w:tc>
      </w:tr>
      <w:tr w:rsidR="00F33837" w:rsidRPr="00C95CA8" w:rsidTr="00F33837">
        <w:trPr>
          <w:trHeight w:val="330"/>
          <w:jc w:val="center"/>
        </w:trPr>
        <w:tc>
          <w:tcPr>
            <w:tcW w:w="1590" w:type="dxa"/>
            <w:tcBorders>
              <w:top w:val="nil"/>
              <w:bottom w:val="nil"/>
              <w:right w:val="single" w:sz="4" w:space="0" w:color="auto"/>
            </w:tcBorders>
            <w:shd w:val="clear" w:color="auto" w:fill="auto"/>
            <w:noWrap/>
            <w:vAlign w:val="center"/>
          </w:tcPr>
          <w:p w:rsidR="00F33837" w:rsidRPr="00C95CA8" w:rsidRDefault="00F33837" w:rsidP="00293503">
            <w:pPr>
              <w:rPr>
                <w:bCs/>
                <w:color w:val="000000"/>
              </w:rPr>
            </w:pPr>
          </w:p>
        </w:tc>
        <w:tc>
          <w:tcPr>
            <w:tcW w:w="3420" w:type="dxa"/>
            <w:tcBorders>
              <w:top w:val="nil"/>
              <w:bottom w:val="nil"/>
              <w:right w:val="single" w:sz="4" w:space="0" w:color="auto"/>
            </w:tcBorders>
            <w:shd w:val="clear" w:color="auto" w:fill="auto"/>
            <w:vAlign w:val="center"/>
          </w:tcPr>
          <w:p w:rsidR="00F33837" w:rsidRPr="00C95CA8" w:rsidRDefault="00F33837" w:rsidP="00293503">
            <w:pPr>
              <w:rPr>
                <w:bCs/>
                <w:color w:val="000000"/>
              </w:rPr>
            </w:pPr>
            <w:r w:rsidRPr="00C95CA8">
              <w:rPr>
                <w:bCs/>
                <w:color w:val="000000"/>
              </w:rPr>
              <w:t>% of cohort still in program.</w:t>
            </w: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top w:val="nil"/>
              <w:left w:val="single" w:sz="4" w:space="0" w:color="auto"/>
              <w:bottom w:val="nil"/>
            </w:tcBorders>
          </w:tcPr>
          <w:p w:rsidR="00F33837" w:rsidRPr="00C95CA8" w:rsidRDefault="00F33837" w:rsidP="00293503">
            <w:pPr>
              <w:jc w:val="center"/>
              <w:rPr>
                <w:color w:val="000000"/>
              </w:rPr>
            </w:pPr>
          </w:p>
        </w:tc>
        <w:tc>
          <w:tcPr>
            <w:tcW w:w="720" w:type="dxa"/>
            <w:tcBorders>
              <w:top w:val="nil"/>
              <w:left w:val="single" w:sz="4" w:space="0" w:color="auto"/>
              <w:bottom w:val="nil"/>
            </w:tcBorders>
          </w:tcPr>
          <w:p w:rsidR="00F33837" w:rsidRPr="00C95CA8" w:rsidRDefault="00F33837" w:rsidP="00293503">
            <w:pPr>
              <w:jc w:val="center"/>
              <w:rPr>
                <w:color w:val="000000"/>
              </w:rPr>
            </w:pPr>
          </w:p>
        </w:tc>
      </w:tr>
      <w:tr w:rsidR="00F33837" w:rsidRPr="00C95CA8" w:rsidTr="00F33837">
        <w:trPr>
          <w:trHeight w:val="330"/>
          <w:jc w:val="center"/>
        </w:trPr>
        <w:tc>
          <w:tcPr>
            <w:tcW w:w="1590" w:type="dxa"/>
            <w:tcBorders>
              <w:top w:val="nil"/>
              <w:bottom w:val="single" w:sz="4" w:space="0" w:color="auto"/>
              <w:right w:val="single" w:sz="4" w:space="0" w:color="auto"/>
            </w:tcBorders>
            <w:shd w:val="clear" w:color="auto" w:fill="auto"/>
            <w:noWrap/>
            <w:vAlign w:val="center"/>
          </w:tcPr>
          <w:p w:rsidR="00F33837" w:rsidRPr="00C95CA8" w:rsidRDefault="00F33837" w:rsidP="00293503">
            <w:pPr>
              <w:rPr>
                <w:bCs/>
                <w:color w:val="000000"/>
              </w:rPr>
            </w:pPr>
          </w:p>
        </w:tc>
        <w:tc>
          <w:tcPr>
            <w:tcW w:w="3420" w:type="dxa"/>
            <w:tcBorders>
              <w:top w:val="nil"/>
              <w:bottom w:val="single" w:sz="4" w:space="0" w:color="auto"/>
              <w:right w:val="single" w:sz="4" w:space="0" w:color="auto"/>
            </w:tcBorders>
            <w:shd w:val="clear" w:color="auto" w:fill="auto"/>
            <w:vAlign w:val="center"/>
          </w:tcPr>
          <w:p w:rsidR="00F33837" w:rsidRPr="00C95CA8" w:rsidRDefault="00F33837" w:rsidP="00293503">
            <w:pPr>
              <w:rPr>
                <w:bCs/>
                <w:color w:val="000000"/>
              </w:rPr>
            </w:pPr>
            <w:r w:rsidRPr="00C95CA8">
              <w:rPr>
                <w:bCs/>
                <w:color w:val="000000"/>
              </w:rPr>
              <w:t>% of cohort still at Cobleskill.</w:t>
            </w: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top w:val="nil"/>
              <w:left w:val="single" w:sz="4" w:space="0" w:color="auto"/>
              <w:bottom w:val="single" w:sz="4" w:space="0" w:color="auto"/>
            </w:tcBorders>
          </w:tcPr>
          <w:p w:rsidR="00F33837" w:rsidRPr="00C95CA8" w:rsidRDefault="00F33837" w:rsidP="00293503">
            <w:pPr>
              <w:jc w:val="center"/>
              <w:rPr>
                <w:color w:val="000000"/>
              </w:rPr>
            </w:pPr>
          </w:p>
        </w:tc>
        <w:tc>
          <w:tcPr>
            <w:tcW w:w="720" w:type="dxa"/>
            <w:tcBorders>
              <w:top w:val="nil"/>
              <w:left w:val="single" w:sz="4" w:space="0" w:color="auto"/>
              <w:bottom w:val="single" w:sz="4" w:space="0" w:color="auto"/>
            </w:tcBorders>
          </w:tcPr>
          <w:p w:rsidR="00F33837" w:rsidRPr="00C95CA8" w:rsidRDefault="00F33837" w:rsidP="00293503">
            <w:pPr>
              <w:jc w:val="center"/>
              <w:rPr>
                <w:color w:val="000000"/>
              </w:rPr>
            </w:pPr>
          </w:p>
        </w:tc>
      </w:tr>
      <w:tr w:rsidR="00F33837" w:rsidRPr="00C95CA8" w:rsidTr="00F33837">
        <w:trPr>
          <w:trHeight w:val="330"/>
          <w:jc w:val="center"/>
        </w:trPr>
        <w:tc>
          <w:tcPr>
            <w:tcW w:w="1590" w:type="dxa"/>
            <w:tcBorders>
              <w:bottom w:val="nil"/>
              <w:right w:val="single" w:sz="4" w:space="0" w:color="auto"/>
            </w:tcBorders>
            <w:shd w:val="clear" w:color="auto" w:fill="auto"/>
            <w:noWrap/>
            <w:vAlign w:val="center"/>
          </w:tcPr>
          <w:p w:rsidR="00F33837" w:rsidRPr="00C95CA8" w:rsidRDefault="00F33837" w:rsidP="00293503">
            <w:pPr>
              <w:rPr>
                <w:bCs/>
                <w:color w:val="000000"/>
              </w:rPr>
            </w:pPr>
            <w:r w:rsidRPr="00C95CA8">
              <w:rPr>
                <w:bCs/>
                <w:color w:val="000000"/>
              </w:rPr>
              <w:t>After 3 years:</w:t>
            </w:r>
          </w:p>
        </w:tc>
        <w:tc>
          <w:tcPr>
            <w:tcW w:w="3420" w:type="dxa"/>
            <w:tcBorders>
              <w:top w:val="nil"/>
              <w:bottom w:val="nil"/>
              <w:right w:val="single" w:sz="4" w:space="0" w:color="auto"/>
            </w:tcBorders>
            <w:shd w:val="clear" w:color="auto" w:fill="auto"/>
            <w:vAlign w:val="center"/>
          </w:tcPr>
          <w:p w:rsidR="00F33837" w:rsidRPr="00C95CA8" w:rsidRDefault="00F33837" w:rsidP="00293503">
            <w:pPr>
              <w:rPr>
                <w:bCs/>
                <w:color w:val="000000"/>
              </w:rPr>
            </w:pPr>
            <w:r w:rsidRPr="00C95CA8">
              <w:rPr>
                <w:bCs/>
                <w:color w:val="000000"/>
              </w:rPr>
              <w:t>No. of cohort still in program.</w:t>
            </w: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left w:val="single" w:sz="4" w:space="0" w:color="auto"/>
              <w:bottom w:val="nil"/>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left w:val="single" w:sz="4" w:space="0" w:color="auto"/>
              <w:bottom w:val="nil"/>
            </w:tcBorders>
          </w:tcPr>
          <w:p w:rsidR="00F33837" w:rsidRPr="00C95CA8" w:rsidRDefault="00F33837" w:rsidP="00293503">
            <w:pPr>
              <w:jc w:val="center"/>
              <w:rPr>
                <w:color w:val="000000"/>
              </w:rPr>
            </w:pPr>
          </w:p>
        </w:tc>
        <w:tc>
          <w:tcPr>
            <w:tcW w:w="720" w:type="dxa"/>
            <w:tcBorders>
              <w:left w:val="single" w:sz="4" w:space="0" w:color="auto"/>
              <w:bottom w:val="nil"/>
            </w:tcBorders>
          </w:tcPr>
          <w:p w:rsidR="00F33837" w:rsidRPr="00C95CA8" w:rsidRDefault="00F33837" w:rsidP="00293503">
            <w:pPr>
              <w:jc w:val="center"/>
              <w:rPr>
                <w:color w:val="000000"/>
              </w:rPr>
            </w:pPr>
          </w:p>
        </w:tc>
      </w:tr>
      <w:tr w:rsidR="00F33837" w:rsidRPr="00C95CA8" w:rsidTr="00F33837">
        <w:trPr>
          <w:trHeight w:val="330"/>
          <w:jc w:val="center"/>
        </w:trPr>
        <w:tc>
          <w:tcPr>
            <w:tcW w:w="1590" w:type="dxa"/>
            <w:tcBorders>
              <w:top w:val="nil"/>
              <w:bottom w:val="nil"/>
              <w:right w:val="single" w:sz="4" w:space="0" w:color="auto"/>
            </w:tcBorders>
            <w:shd w:val="clear" w:color="auto" w:fill="auto"/>
            <w:noWrap/>
            <w:vAlign w:val="center"/>
          </w:tcPr>
          <w:p w:rsidR="00F33837" w:rsidRPr="00C95CA8" w:rsidRDefault="00F33837" w:rsidP="00293503">
            <w:pPr>
              <w:rPr>
                <w:bCs/>
                <w:color w:val="000000"/>
              </w:rPr>
            </w:pPr>
          </w:p>
        </w:tc>
        <w:tc>
          <w:tcPr>
            <w:tcW w:w="3420" w:type="dxa"/>
            <w:tcBorders>
              <w:top w:val="nil"/>
              <w:bottom w:val="nil"/>
              <w:right w:val="single" w:sz="4" w:space="0" w:color="auto"/>
            </w:tcBorders>
            <w:shd w:val="clear" w:color="auto" w:fill="auto"/>
            <w:vAlign w:val="center"/>
          </w:tcPr>
          <w:p w:rsidR="00F33837" w:rsidRPr="00C95CA8" w:rsidRDefault="00F33837" w:rsidP="00293503">
            <w:pPr>
              <w:rPr>
                <w:bCs/>
                <w:color w:val="000000"/>
              </w:rPr>
            </w:pPr>
            <w:r w:rsidRPr="00C95CA8">
              <w:rPr>
                <w:bCs/>
                <w:color w:val="000000"/>
              </w:rPr>
              <w:t>No. of cohort still at Cobleskill.</w:t>
            </w: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top w:val="nil"/>
              <w:left w:val="single" w:sz="4" w:space="0" w:color="auto"/>
              <w:bottom w:val="nil"/>
            </w:tcBorders>
          </w:tcPr>
          <w:p w:rsidR="00F33837" w:rsidRPr="00C95CA8" w:rsidRDefault="00F33837" w:rsidP="00293503">
            <w:pPr>
              <w:jc w:val="center"/>
              <w:rPr>
                <w:color w:val="000000"/>
              </w:rPr>
            </w:pPr>
          </w:p>
        </w:tc>
        <w:tc>
          <w:tcPr>
            <w:tcW w:w="720" w:type="dxa"/>
            <w:tcBorders>
              <w:top w:val="nil"/>
              <w:left w:val="single" w:sz="4" w:space="0" w:color="auto"/>
              <w:bottom w:val="nil"/>
            </w:tcBorders>
          </w:tcPr>
          <w:p w:rsidR="00F33837" w:rsidRPr="00C95CA8" w:rsidRDefault="00F33837" w:rsidP="00293503">
            <w:pPr>
              <w:jc w:val="center"/>
              <w:rPr>
                <w:color w:val="000000"/>
              </w:rPr>
            </w:pPr>
          </w:p>
        </w:tc>
      </w:tr>
      <w:tr w:rsidR="00F33837" w:rsidRPr="00C95CA8" w:rsidTr="00F33837">
        <w:trPr>
          <w:trHeight w:val="330"/>
          <w:jc w:val="center"/>
        </w:trPr>
        <w:tc>
          <w:tcPr>
            <w:tcW w:w="1590" w:type="dxa"/>
            <w:tcBorders>
              <w:top w:val="nil"/>
              <w:bottom w:val="nil"/>
              <w:right w:val="single" w:sz="4" w:space="0" w:color="auto"/>
            </w:tcBorders>
            <w:shd w:val="clear" w:color="auto" w:fill="auto"/>
            <w:noWrap/>
            <w:vAlign w:val="center"/>
          </w:tcPr>
          <w:p w:rsidR="00F33837" w:rsidRPr="00C95CA8" w:rsidRDefault="00F33837" w:rsidP="00293503">
            <w:pPr>
              <w:rPr>
                <w:bCs/>
                <w:color w:val="000000"/>
              </w:rPr>
            </w:pPr>
          </w:p>
        </w:tc>
        <w:tc>
          <w:tcPr>
            <w:tcW w:w="3420" w:type="dxa"/>
            <w:tcBorders>
              <w:top w:val="nil"/>
              <w:bottom w:val="nil"/>
              <w:right w:val="single" w:sz="4" w:space="0" w:color="auto"/>
            </w:tcBorders>
            <w:shd w:val="clear" w:color="auto" w:fill="auto"/>
            <w:vAlign w:val="center"/>
          </w:tcPr>
          <w:p w:rsidR="00F33837" w:rsidRPr="00C95CA8" w:rsidRDefault="00F33837" w:rsidP="00293503">
            <w:pPr>
              <w:rPr>
                <w:bCs/>
                <w:color w:val="000000"/>
              </w:rPr>
            </w:pPr>
            <w:r w:rsidRPr="00C95CA8">
              <w:rPr>
                <w:bCs/>
                <w:color w:val="000000"/>
              </w:rPr>
              <w:t>% of cohort still in program.</w:t>
            </w: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nil"/>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top w:val="nil"/>
              <w:left w:val="single" w:sz="4" w:space="0" w:color="auto"/>
              <w:bottom w:val="nil"/>
            </w:tcBorders>
          </w:tcPr>
          <w:p w:rsidR="00F33837" w:rsidRPr="00C95CA8" w:rsidRDefault="00F33837" w:rsidP="00293503">
            <w:pPr>
              <w:jc w:val="center"/>
              <w:rPr>
                <w:color w:val="000000"/>
              </w:rPr>
            </w:pPr>
          </w:p>
        </w:tc>
        <w:tc>
          <w:tcPr>
            <w:tcW w:w="720" w:type="dxa"/>
            <w:tcBorders>
              <w:top w:val="nil"/>
              <w:left w:val="single" w:sz="4" w:space="0" w:color="auto"/>
              <w:bottom w:val="nil"/>
            </w:tcBorders>
          </w:tcPr>
          <w:p w:rsidR="00F33837" w:rsidRPr="00C95CA8" w:rsidRDefault="00F33837" w:rsidP="00293503">
            <w:pPr>
              <w:jc w:val="center"/>
              <w:rPr>
                <w:color w:val="000000"/>
              </w:rPr>
            </w:pPr>
          </w:p>
        </w:tc>
      </w:tr>
      <w:tr w:rsidR="00F33837" w:rsidRPr="00C95CA8" w:rsidTr="00F33837">
        <w:trPr>
          <w:trHeight w:val="330"/>
          <w:jc w:val="center"/>
        </w:trPr>
        <w:tc>
          <w:tcPr>
            <w:tcW w:w="1590" w:type="dxa"/>
            <w:tcBorders>
              <w:top w:val="nil"/>
              <w:bottom w:val="single" w:sz="4" w:space="0" w:color="auto"/>
              <w:right w:val="single" w:sz="4" w:space="0" w:color="auto"/>
            </w:tcBorders>
            <w:shd w:val="clear" w:color="auto" w:fill="auto"/>
            <w:noWrap/>
            <w:vAlign w:val="center"/>
          </w:tcPr>
          <w:p w:rsidR="00F33837" w:rsidRPr="00C95CA8" w:rsidRDefault="00F33837" w:rsidP="00293503">
            <w:pPr>
              <w:rPr>
                <w:bCs/>
                <w:color w:val="000000"/>
              </w:rPr>
            </w:pPr>
          </w:p>
        </w:tc>
        <w:tc>
          <w:tcPr>
            <w:tcW w:w="3420" w:type="dxa"/>
            <w:tcBorders>
              <w:top w:val="nil"/>
              <w:bottom w:val="single" w:sz="4" w:space="0" w:color="auto"/>
              <w:right w:val="single" w:sz="4" w:space="0" w:color="auto"/>
            </w:tcBorders>
            <w:shd w:val="clear" w:color="auto" w:fill="auto"/>
            <w:vAlign w:val="center"/>
          </w:tcPr>
          <w:p w:rsidR="00F33837" w:rsidRPr="00C95CA8" w:rsidRDefault="00F33837" w:rsidP="00293503">
            <w:pPr>
              <w:rPr>
                <w:bCs/>
                <w:color w:val="000000"/>
              </w:rPr>
            </w:pPr>
            <w:r w:rsidRPr="00C95CA8">
              <w:rPr>
                <w:bCs/>
                <w:color w:val="000000"/>
              </w:rPr>
              <w:t>% of cohort still at Cobleskill</w:t>
            </w: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02"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696" w:type="dxa"/>
            <w:tcBorders>
              <w:top w:val="nil"/>
              <w:left w:val="single" w:sz="4" w:space="0" w:color="auto"/>
              <w:bottom w:val="single" w:sz="4" w:space="0" w:color="auto"/>
            </w:tcBorders>
            <w:shd w:val="clear" w:color="auto" w:fill="auto"/>
            <w:noWrap/>
            <w:tcMar>
              <w:left w:w="29" w:type="dxa"/>
              <w:right w:w="29" w:type="dxa"/>
            </w:tcMar>
            <w:vAlign w:val="center"/>
          </w:tcPr>
          <w:p w:rsidR="00F33837" w:rsidRPr="00C95CA8" w:rsidRDefault="00F33837" w:rsidP="00293503">
            <w:pPr>
              <w:jc w:val="center"/>
              <w:rPr>
                <w:color w:val="000000"/>
              </w:rPr>
            </w:pPr>
          </w:p>
        </w:tc>
        <w:tc>
          <w:tcPr>
            <w:tcW w:w="720" w:type="dxa"/>
            <w:tcBorders>
              <w:top w:val="nil"/>
              <w:left w:val="single" w:sz="4" w:space="0" w:color="auto"/>
              <w:bottom w:val="single" w:sz="4" w:space="0" w:color="auto"/>
            </w:tcBorders>
          </w:tcPr>
          <w:p w:rsidR="00F33837" w:rsidRPr="00C95CA8" w:rsidRDefault="00F33837" w:rsidP="00293503">
            <w:pPr>
              <w:jc w:val="center"/>
              <w:rPr>
                <w:color w:val="000000"/>
              </w:rPr>
            </w:pPr>
          </w:p>
        </w:tc>
        <w:tc>
          <w:tcPr>
            <w:tcW w:w="720" w:type="dxa"/>
            <w:tcBorders>
              <w:top w:val="nil"/>
              <w:left w:val="single" w:sz="4" w:space="0" w:color="auto"/>
              <w:bottom w:val="single" w:sz="4" w:space="0" w:color="auto"/>
            </w:tcBorders>
          </w:tcPr>
          <w:p w:rsidR="00F33837" w:rsidRPr="00C95CA8" w:rsidRDefault="00F33837" w:rsidP="00293503">
            <w:pPr>
              <w:jc w:val="center"/>
              <w:rPr>
                <w:color w:val="000000"/>
              </w:rPr>
            </w:pPr>
          </w:p>
        </w:tc>
      </w:tr>
    </w:tbl>
    <w:p w:rsidR="00296CA3" w:rsidRPr="00C95CA8" w:rsidRDefault="00296CA3" w:rsidP="00296CA3">
      <w:pPr>
        <w:ind w:left="864" w:hanging="288"/>
        <w:rPr>
          <w:sz w:val="22"/>
          <w:szCs w:val="22"/>
        </w:rPr>
      </w:pPr>
    </w:p>
    <w:p w:rsidR="00296CA3" w:rsidRPr="00C95CA8" w:rsidRDefault="00296CA3" w:rsidP="00296CA3">
      <w:pPr>
        <w:ind w:left="864" w:hanging="288"/>
        <w:rPr>
          <w:sz w:val="22"/>
          <w:szCs w:val="22"/>
        </w:rPr>
      </w:pPr>
    </w:p>
    <w:p w:rsidR="00296CA3" w:rsidRPr="00C95CA8" w:rsidRDefault="00296CA3" w:rsidP="00296CA3">
      <w:pPr>
        <w:ind w:left="864" w:hanging="288"/>
        <w:rPr>
          <w:sz w:val="22"/>
          <w:szCs w:val="22"/>
        </w:rPr>
      </w:pPr>
      <w:r w:rsidRPr="00C95CA8">
        <w:rPr>
          <w:sz w:val="22"/>
          <w:szCs w:val="22"/>
        </w:rPr>
        <w:tab/>
      </w:r>
      <w:r w:rsidRPr="00C95CA8">
        <w:rPr>
          <w:sz w:val="22"/>
          <w:szCs w:val="22"/>
        </w:rPr>
        <w:tab/>
        <w:t>Table 15b. Cohorts by Recent Graduation</w:t>
      </w:r>
    </w:p>
    <w:tbl>
      <w:tblPr>
        <w:tblW w:w="8502"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4"/>
        <w:gridCol w:w="643"/>
        <w:gridCol w:w="635"/>
        <w:gridCol w:w="630"/>
        <w:gridCol w:w="630"/>
        <w:gridCol w:w="720"/>
        <w:gridCol w:w="720"/>
        <w:gridCol w:w="720"/>
      </w:tblGrid>
      <w:tr w:rsidR="00F33837" w:rsidRPr="00C95CA8" w:rsidTr="00F33837">
        <w:trPr>
          <w:trHeight w:val="330"/>
        </w:trPr>
        <w:tc>
          <w:tcPr>
            <w:tcW w:w="3804" w:type="dxa"/>
            <w:tcBorders>
              <w:top w:val="nil"/>
              <w:left w:val="nil"/>
              <w:bottom w:val="single" w:sz="4" w:space="0" w:color="auto"/>
              <w:right w:val="single" w:sz="4" w:space="0" w:color="auto"/>
            </w:tcBorders>
            <w:shd w:val="clear" w:color="auto" w:fill="auto"/>
            <w:noWrap/>
            <w:vAlign w:val="center"/>
          </w:tcPr>
          <w:p w:rsidR="00F33837" w:rsidRPr="00C95CA8" w:rsidRDefault="00F33837" w:rsidP="00820C06">
            <w:pPr>
              <w:rPr>
                <w:bCs/>
                <w:color w:val="000000"/>
              </w:rPr>
            </w:pPr>
          </w:p>
          <w:p w:rsidR="00F33837" w:rsidRPr="00C95CA8" w:rsidRDefault="00F33837" w:rsidP="00820C06">
            <w:pPr>
              <w:rPr>
                <w:bCs/>
                <w:color w:val="000000"/>
              </w:rPr>
            </w:pPr>
          </w:p>
        </w:tc>
        <w:tc>
          <w:tcPr>
            <w:tcW w:w="643"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820C06">
            <w:pPr>
              <w:jc w:val="center"/>
              <w:rPr>
                <w:b/>
                <w:color w:val="000000"/>
              </w:rPr>
            </w:pPr>
            <w:r w:rsidRPr="00C95CA8">
              <w:rPr>
                <w:b/>
                <w:color w:val="000000"/>
              </w:rPr>
              <w:t xml:space="preserve">Fall </w:t>
            </w:r>
            <w:r>
              <w:rPr>
                <w:b/>
                <w:color w:val="000000"/>
              </w:rPr>
              <w:t>2017</w:t>
            </w:r>
          </w:p>
        </w:tc>
        <w:tc>
          <w:tcPr>
            <w:tcW w:w="635"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DD5966">
            <w:pPr>
              <w:jc w:val="center"/>
              <w:rPr>
                <w:b/>
                <w:color w:val="000000"/>
              </w:rPr>
            </w:pPr>
            <w:r w:rsidRPr="00C95CA8">
              <w:rPr>
                <w:b/>
                <w:color w:val="000000"/>
              </w:rPr>
              <w:t xml:space="preserve">Fall </w:t>
            </w:r>
            <w:r>
              <w:rPr>
                <w:b/>
                <w:color w:val="000000"/>
              </w:rPr>
              <w:t>2018</w:t>
            </w:r>
          </w:p>
        </w:tc>
        <w:tc>
          <w:tcPr>
            <w:tcW w:w="630"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F33837" w:rsidRPr="00C95CA8" w:rsidRDefault="00F33837" w:rsidP="00DD5966">
            <w:pPr>
              <w:jc w:val="center"/>
              <w:rPr>
                <w:b/>
                <w:color w:val="000000"/>
              </w:rPr>
            </w:pPr>
            <w:r w:rsidRPr="00C95CA8">
              <w:rPr>
                <w:b/>
                <w:color w:val="000000"/>
              </w:rPr>
              <w:t xml:space="preserve">Fall </w:t>
            </w:r>
            <w:r>
              <w:rPr>
                <w:b/>
                <w:color w:val="000000"/>
              </w:rPr>
              <w:t>2019</w:t>
            </w:r>
          </w:p>
        </w:tc>
        <w:tc>
          <w:tcPr>
            <w:tcW w:w="630" w:type="dxa"/>
            <w:tcBorders>
              <w:top w:val="single" w:sz="4" w:space="0" w:color="auto"/>
              <w:left w:val="single" w:sz="4" w:space="0" w:color="auto"/>
              <w:bottom w:val="single" w:sz="4" w:space="0" w:color="auto"/>
            </w:tcBorders>
            <w:shd w:val="clear" w:color="auto" w:fill="auto"/>
            <w:noWrap/>
            <w:tcMar>
              <w:left w:w="29" w:type="dxa"/>
              <w:right w:w="29" w:type="dxa"/>
            </w:tcMar>
            <w:vAlign w:val="center"/>
          </w:tcPr>
          <w:p w:rsidR="00F33837" w:rsidRPr="00C95CA8" w:rsidRDefault="00F33837" w:rsidP="00DD5966">
            <w:pPr>
              <w:jc w:val="center"/>
              <w:rPr>
                <w:b/>
                <w:color w:val="000000"/>
              </w:rPr>
            </w:pPr>
            <w:r w:rsidRPr="00C95CA8">
              <w:rPr>
                <w:b/>
                <w:color w:val="000000"/>
              </w:rPr>
              <w:t xml:space="preserve">Fall </w:t>
            </w:r>
            <w:r>
              <w:rPr>
                <w:b/>
                <w:color w:val="000000"/>
              </w:rPr>
              <w:t>2020</w:t>
            </w:r>
          </w:p>
        </w:tc>
        <w:tc>
          <w:tcPr>
            <w:tcW w:w="720" w:type="dxa"/>
            <w:tcBorders>
              <w:top w:val="single" w:sz="4" w:space="0" w:color="auto"/>
              <w:left w:val="single" w:sz="4" w:space="0" w:color="auto"/>
              <w:bottom w:val="single" w:sz="4" w:space="0" w:color="auto"/>
            </w:tcBorders>
          </w:tcPr>
          <w:p w:rsidR="00F33837" w:rsidRPr="00C95CA8" w:rsidRDefault="00F33837" w:rsidP="00820C06">
            <w:pPr>
              <w:tabs>
                <w:tab w:val="center" w:pos="252"/>
              </w:tabs>
              <w:rPr>
                <w:b/>
                <w:color w:val="000000"/>
              </w:rPr>
            </w:pPr>
            <w:r w:rsidRPr="00C95CA8">
              <w:rPr>
                <w:b/>
                <w:color w:val="000000"/>
              </w:rPr>
              <w:tab/>
              <w:t xml:space="preserve">Fall </w:t>
            </w:r>
            <w:r>
              <w:rPr>
                <w:b/>
                <w:color w:val="000000"/>
              </w:rPr>
              <w:t>2021</w:t>
            </w:r>
          </w:p>
        </w:tc>
        <w:tc>
          <w:tcPr>
            <w:tcW w:w="720" w:type="dxa"/>
            <w:tcBorders>
              <w:top w:val="single" w:sz="4" w:space="0" w:color="auto"/>
              <w:left w:val="single" w:sz="4" w:space="0" w:color="auto"/>
              <w:bottom w:val="single" w:sz="4" w:space="0" w:color="auto"/>
            </w:tcBorders>
          </w:tcPr>
          <w:p w:rsidR="00F33837" w:rsidRPr="00C95CA8" w:rsidRDefault="00F33837" w:rsidP="00820C06">
            <w:pPr>
              <w:tabs>
                <w:tab w:val="center" w:pos="252"/>
              </w:tabs>
              <w:rPr>
                <w:b/>
                <w:color w:val="000000"/>
              </w:rPr>
            </w:pPr>
            <w:r>
              <w:rPr>
                <w:b/>
                <w:color w:val="000000"/>
              </w:rPr>
              <w:t>Fall 2022</w:t>
            </w:r>
          </w:p>
        </w:tc>
        <w:tc>
          <w:tcPr>
            <w:tcW w:w="720" w:type="dxa"/>
            <w:tcBorders>
              <w:top w:val="single" w:sz="4" w:space="0" w:color="auto"/>
              <w:left w:val="single" w:sz="4" w:space="0" w:color="auto"/>
              <w:bottom w:val="single" w:sz="4" w:space="0" w:color="auto"/>
            </w:tcBorders>
          </w:tcPr>
          <w:p w:rsidR="00F33837" w:rsidRPr="00C95CA8" w:rsidRDefault="00F33837" w:rsidP="00820C06">
            <w:pPr>
              <w:tabs>
                <w:tab w:val="center" w:pos="252"/>
              </w:tabs>
              <w:rPr>
                <w:b/>
                <w:color w:val="000000"/>
              </w:rPr>
            </w:pPr>
            <w:r>
              <w:rPr>
                <w:b/>
                <w:color w:val="000000"/>
              </w:rPr>
              <w:t>Fall 2023</w:t>
            </w:r>
          </w:p>
        </w:tc>
      </w:tr>
      <w:tr w:rsidR="00F33837" w:rsidRPr="00C95CA8" w:rsidTr="00F33837">
        <w:trPr>
          <w:trHeight w:val="330"/>
        </w:trPr>
        <w:tc>
          <w:tcPr>
            <w:tcW w:w="3804" w:type="dxa"/>
            <w:tcBorders>
              <w:top w:val="single" w:sz="4" w:space="0" w:color="auto"/>
              <w:left w:val="single" w:sz="4" w:space="0" w:color="auto"/>
              <w:bottom w:val="nil"/>
              <w:right w:val="single" w:sz="4" w:space="0" w:color="auto"/>
            </w:tcBorders>
            <w:shd w:val="clear" w:color="auto" w:fill="auto"/>
            <w:noWrap/>
            <w:vAlign w:val="center"/>
          </w:tcPr>
          <w:p w:rsidR="00F33837" w:rsidRPr="00C95CA8" w:rsidRDefault="00F33837" w:rsidP="00820C06">
            <w:pPr>
              <w:rPr>
                <w:bCs/>
                <w:color w:val="000000"/>
                <w:vertAlign w:val="superscript"/>
              </w:rPr>
            </w:pPr>
            <w:r w:rsidRPr="00C95CA8">
              <w:rPr>
                <w:bCs/>
                <w:color w:val="000000"/>
              </w:rPr>
              <w:t>In-program 150% Graduation Rate</w:t>
            </w:r>
            <w:r w:rsidRPr="00C95CA8">
              <w:rPr>
                <w:bCs/>
                <w:color w:val="000000"/>
                <w:vertAlign w:val="superscript"/>
              </w:rPr>
              <w:t>12</w:t>
            </w:r>
          </w:p>
        </w:tc>
        <w:tc>
          <w:tcPr>
            <w:tcW w:w="643"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820C06">
            <w:pPr>
              <w:jc w:val="center"/>
              <w:rPr>
                <w:color w:val="000000"/>
              </w:rPr>
            </w:pPr>
          </w:p>
        </w:tc>
        <w:tc>
          <w:tcPr>
            <w:tcW w:w="635"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820C06">
            <w:pPr>
              <w:jc w:val="center"/>
              <w:rPr>
                <w:color w:val="000000"/>
              </w:rPr>
            </w:pPr>
          </w:p>
        </w:tc>
        <w:tc>
          <w:tcPr>
            <w:tcW w:w="630" w:type="dxa"/>
            <w:tcBorders>
              <w:left w:val="single" w:sz="4" w:space="0" w:color="auto"/>
              <w:bottom w:val="nil"/>
              <w:right w:val="single" w:sz="4" w:space="0" w:color="auto"/>
            </w:tcBorders>
            <w:shd w:val="clear" w:color="auto" w:fill="auto"/>
            <w:noWrap/>
            <w:tcMar>
              <w:left w:w="29" w:type="dxa"/>
              <w:right w:w="29" w:type="dxa"/>
            </w:tcMar>
            <w:vAlign w:val="center"/>
          </w:tcPr>
          <w:p w:rsidR="00F33837" w:rsidRPr="00C95CA8" w:rsidRDefault="00F33837" w:rsidP="00820C06">
            <w:pPr>
              <w:jc w:val="center"/>
              <w:rPr>
                <w:color w:val="000000"/>
              </w:rPr>
            </w:pPr>
          </w:p>
        </w:tc>
        <w:tc>
          <w:tcPr>
            <w:tcW w:w="630" w:type="dxa"/>
            <w:tcBorders>
              <w:left w:val="single" w:sz="4" w:space="0" w:color="auto"/>
              <w:bottom w:val="nil"/>
            </w:tcBorders>
            <w:shd w:val="clear" w:color="auto" w:fill="auto"/>
            <w:noWrap/>
            <w:tcMar>
              <w:left w:w="29" w:type="dxa"/>
              <w:right w:w="29" w:type="dxa"/>
            </w:tcMar>
            <w:vAlign w:val="center"/>
          </w:tcPr>
          <w:p w:rsidR="00F33837" w:rsidRPr="00C95CA8" w:rsidRDefault="00F33837" w:rsidP="00820C06">
            <w:pPr>
              <w:jc w:val="center"/>
              <w:rPr>
                <w:color w:val="000000"/>
              </w:rPr>
            </w:pPr>
          </w:p>
        </w:tc>
        <w:tc>
          <w:tcPr>
            <w:tcW w:w="720" w:type="dxa"/>
            <w:tcBorders>
              <w:left w:val="single" w:sz="4" w:space="0" w:color="auto"/>
              <w:bottom w:val="nil"/>
            </w:tcBorders>
          </w:tcPr>
          <w:p w:rsidR="00F33837" w:rsidRPr="00C95CA8" w:rsidRDefault="00F33837" w:rsidP="00820C06">
            <w:pPr>
              <w:jc w:val="center"/>
              <w:rPr>
                <w:color w:val="000000"/>
              </w:rPr>
            </w:pPr>
          </w:p>
        </w:tc>
        <w:tc>
          <w:tcPr>
            <w:tcW w:w="720" w:type="dxa"/>
            <w:tcBorders>
              <w:left w:val="single" w:sz="4" w:space="0" w:color="auto"/>
              <w:bottom w:val="nil"/>
            </w:tcBorders>
          </w:tcPr>
          <w:p w:rsidR="00F33837" w:rsidRPr="00C95CA8" w:rsidRDefault="00F33837" w:rsidP="00820C06">
            <w:pPr>
              <w:jc w:val="center"/>
              <w:rPr>
                <w:color w:val="000000"/>
              </w:rPr>
            </w:pPr>
          </w:p>
        </w:tc>
        <w:tc>
          <w:tcPr>
            <w:tcW w:w="720" w:type="dxa"/>
            <w:tcBorders>
              <w:left w:val="single" w:sz="4" w:space="0" w:color="auto"/>
              <w:bottom w:val="nil"/>
            </w:tcBorders>
          </w:tcPr>
          <w:p w:rsidR="00F33837" w:rsidRPr="00C95CA8" w:rsidRDefault="00F33837" w:rsidP="00820C06">
            <w:pPr>
              <w:jc w:val="center"/>
              <w:rPr>
                <w:color w:val="000000"/>
              </w:rPr>
            </w:pPr>
          </w:p>
        </w:tc>
      </w:tr>
      <w:tr w:rsidR="00F33837" w:rsidRPr="00C95CA8" w:rsidTr="00F33837">
        <w:trPr>
          <w:trHeight w:val="330"/>
        </w:trPr>
        <w:tc>
          <w:tcPr>
            <w:tcW w:w="3804" w:type="dxa"/>
            <w:tcBorders>
              <w:top w:val="nil"/>
              <w:left w:val="single" w:sz="4" w:space="0" w:color="auto"/>
              <w:right w:val="single" w:sz="4" w:space="0" w:color="auto"/>
            </w:tcBorders>
            <w:shd w:val="clear" w:color="auto" w:fill="auto"/>
            <w:noWrap/>
            <w:vAlign w:val="center"/>
          </w:tcPr>
          <w:p w:rsidR="00F33837" w:rsidRPr="00C95CA8" w:rsidRDefault="00F33837" w:rsidP="00820C06">
            <w:pPr>
              <w:rPr>
                <w:bCs/>
                <w:color w:val="000000"/>
              </w:rPr>
            </w:pPr>
            <w:r w:rsidRPr="00C95CA8">
              <w:rPr>
                <w:bCs/>
                <w:color w:val="000000"/>
              </w:rPr>
              <w:t>150% Graduation Rate of cohort who remained at Cobleskill</w:t>
            </w:r>
          </w:p>
        </w:tc>
        <w:tc>
          <w:tcPr>
            <w:tcW w:w="643" w:type="dxa"/>
            <w:tcBorders>
              <w:top w:val="nil"/>
              <w:left w:val="single" w:sz="4" w:space="0" w:color="auto"/>
              <w:right w:val="single" w:sz="4" w:space="0" w:color="auto"/>
            </w:tcBorders>
            <w:shd w:val="clear" w:color="auto" w:fill="auto"/>
            <w:noWrap/>
            <w:tcMar>
              <w:left w:w="29" w:type="dxa"/>
              <w:right w:w="29" w:type="dxa"/>
            </w:tcMar>
            <w:vAlign w:val="center"/>
          </w:tcPr>
          <w:p w:rsidR="00F33837" w:rsidRPr="00C95CA8" w:rsidRDefault="00F33837" w:rsidP="00820C06">
            <w:pPr>
              <w:jc w:val="center"/>
              <w:rPr>
                <w:color w:val="000000"/>
              </w:rPr>
            </w:pPr>
          </w:p>
        </w:tc>
        <w:tc>
          <w:tcPr>
            <w:tcW w:w="635" w:type="dxa"/>
            <w:tcBorders>
              <w:top w:val="nil"/>
              <w:left w:val="single" w:sz="4" w:space="0" w:color="auto"/>
              <w:right w:val="single" w:sz="4" w:space="0" w:color="auto"/>
            </w:tcBorders>
            <w:shd w:val="clear" w:color="auto" w:fill="auto"/>
            <w:noWrap/>
            <w:tcMar>
              <w:left w:w="29" w:type="dxa"/>
              <w:right w:w="29" w:type="dxa"/>
            </w:tcMar>
            <w:vAlign w:val="center"/>
          </w:tcPr>
          <w:p w:rsidR="00F33837" w:rsidRPr="00C95CA8" w:rsidRDefault="00F33837" w:rsidP="00820C06">
            <w:pPr>
              <w:jc w:val="center"/>
              <w:rPr>
                <w:color w:val="000000"/>
              </w:rPr>
            </w:pPr>
          </w:p>
        </w:tc>
        <w:tc>
          <w:tcPr>
            <w:tcW w:w="630" w:type="dxa"/>
            <w:tcBorders>
              <w:top w:val="nil"/>
              <w:left w:val="single" w:sz="4" w:space="0" w:color="auto"/>
              <w:right w:val="single" w:sz="4" w:space="0" w:color="auto"/>
            </w:tcBorders>
            <w:shd w:val="clear" w:color="auto" w:fill="auto"/>
            <w:noWrap/>
            <w:tcMar>
              <w:left w:w="29" w:type="dxa"/>
              <w:right w:w="29" w:type="dxa"/>
            </w:tcMar>
            <w:vAlign w:val="center"/>
          </w:tcPr>
          <w:p w:rsidR="00F33837" w:rsidRPr="00C95CA8" w:rsidRDefault="00F33837" w:rsidP="00820C06">
            <w:pPr>
              <w:jc w:val="center"/>
              <w:rPr>
                <w:color w:val="000000"/>
              </w:rPr>
            </w:pPr>
          </w:p>
        </w:tc>
        <w:tc>
          <w:tcPr>
            <w:tcW w:w="630" w:type="dxa"/>
            <w:tcBorders>
              <w:top w:val="nil"/>
              <w:left w:val="single" w:sz="4" w:space="0" w:color="auto"/>
            </w:tcBorders>
            <w:shd w:val="clear" w:color="auto" w:fill="auto"/>
            <w:noWrap/>
            <w:tcMar>
              <w:left w:w="29" w:type="dxa"/>
              <w:right w:w="29" w:type="dxa"/>
            </w:tcMar>
            <w:vAlign w:val="center"/>
          </w:tcPr>
          <w:p w:rsidR="00F33837" w:rsidRPr="00C95CA8" w:rsidRDefault="00F33837" w:rsidP="00820C06">
            <w:pPr>
              <w:jc w:val="center"/>
              <w:rPr>
                <w:color w:val="000000"/>
              </w:rPr>
            </w:pPr>
          </w:p>
        </w:tc>
        <w:tc>
          <w:tcPr>
            <w:tcW w:w="720" w:type="dxa"/>
            <w:tcBorders>
              <w:top w:val="nil"/>
              <w:left w:val="single" w:sz="4" w:space="0" w:color="auto"/>
            </w:tcBorders>
          </w:tcPr>
          <w:p w:rsidR="00F33837" w:rsidRPr="00C95CA8" w:rsidRDefault="00F33837" w:rsidP="00820C06">
            <w:pPr>
              <w:jc w:val="center"/>
              <w:rPr>
                <w:color w:val="000000"/>
              </w:rPr>
            </w:pPr>
          </w:p>
        </w:tc>
        <w:tc>
          <w:tcPr>
            <w:tcW w:w="720" w:type="dxa"/>
            <w:tcBorders>
              <w:top w:val="nil"/>
              <w:left w:val="single" w:sz="4" w:space="0" w:color="auto"/>
            </w:tcBorders>
          </w:tcPr>
          <w:p w:rsidR="00F33837" w:rsidRPr="00C95CA8" w:rsidRDefault="00F33837" w:rsidP="00820C06">
            <w:pPr>
              <w:jc w:val="center"/>
              <w:rPr>
                <w:color w:val="000000"/>
              </w:rPr>
            </w:pPr>
          </w:p>
        </w:tc>
        <w:tc>
          <w:tcPr>
            <w:tcW w:w="720" w:type="dxa"/>
            <w:tcBorders>
              <w:top w:val="nil"/>
              <w:left w:val="single" w:sz="4" w:space="0" w:color="auto"/>
            </w:tcBorders>
          </w:tcPr>
          <w:p w:rsidR="00F33837" w:rsidRPr="00C95CA8" w:rsidRDefault="00F33837" w:rsidP="00820C06">
            <w:pPr>
              <w:jc w:val="center"/>
              <w:rPr>
                <w:color w:val="000000"/>
              </w:rPr>
            </w:pPr>
          </w:p>
        </w:tc>
      </w:tr>
    </w:tbl>
    <w:p w:rsidR="00296CA3" w:rsidRPr="00C95CA8" w:rsidRDefault="00296CA3" w:rsidP="00296CA3">
      <w:pPr>
        <w:ind w:left="864" w:hanging="288"/>
        <w:rPr>
          <w:sz w:val="22"/>
          <w:szCs w:val="22"/>
        </w:rPr>
      </w:pPr>
    </w:p>
    <w:p w:rsidR="00296CA3" w:rsidRPr="00C95CA8" w:rsidRDefault="00296CA3" w:rsidP="00296CA3">
      <w:pPr>
        <w:ind w:left="864" w:hanging="288"/>
        <w:rPr>
          <w:sz w:val="22"/>
          <w:szCs w:val="22"/>
        </w:rPr>
      </w:pPr>
    </w:p>
    <w:p w:rsidR="00296CA3" w:rsidRPr="00C95CA8" w:rsidRDefault="00296CA3" w:rsidP="00296CA3">
      <w:pPr>
        <w:ind w:left="576"/>
        <w:rPr>
          <w:sz w:val="22"/>
          <w:szCs w:val="22"/>
        </w:rPr>
      </w:pPr>
      <w:r w:rsidRPr="00C95CA8">
        <w:rPr>
          <w:sz w:val="22"/>
          <w:szCs w:val="22"/>
          <w:vertAlign w:val="superscript"/>
        </w:rPr>
        <w:t>9</w:t>
      </w:r>
      <w:r w:rsidRPr="00C95CA8">
        <w:rPr>
          <w:sz w:val="22"/>
          <w:szCs w:val="22"/>
        </w:rPr>
        <w:t xml:space="preserve">A cohort is defined as the number of first-time, full-time students enrolled in the program each fall. Counts are recorded after the third week census. </w:t>
      </w:r>
    </w:p>
    <w:p w:rsidR="00296CA3" w:rsidRPr="00C95CA8" w:rsidRDefault="00296CA3" w:rsidP="00296CA3">
      <w:pPr>
        <w:ind w:left="810" w:hanging="234"/>
        <w:rPr>
          <w:sz w:val="22"/>
          <w:szCs w:val="22"/>
        </w:rPr>
      </w:pPr>
      <w:r w:rsidRPr="00C95CA8">
        <w:rPr>
          <w:sz w:val="22"/>
          <w:szCs w:val="22"/>
          <w:vertAlign w:val="superscript"/>
        </w:rPr>
        <w:t>10</w:t>
      </w:r>
      <w:r w:rsidRPr="00C95CA8">
        <w:rPr>
          <w:sz w:val="22"/>
          <w:szCs w:val="22"/>
        </w:rPr>
        <w:t xml:space="preserve">Each successive fall term, students from each initial cohort who either have persisted in their program or have remained at Cobleskill.  </w:t>
      </w:r>
    </w:p>
    <w:p w:rsidR="00296CA3" w:rsidRPr="00C95CA8" w:rsidRDefault="00296CA3" w:rsidP="00296CA3">
      <w:pPr>
        <w:ind w:left="576"/>
        <w:rPr>
          <w:sz w:val="22"/>
          <w:szCs w:val="22"/>
        </w:rPr>
      </w:pPr>
      <w:r w:rsidRPr="00C95CA8">
        <w:rPr>
          <w:sz w:val="22"/>
          <w:szCs w:val="22"/>
          <w:vertAlign w:val="superscript"/>
        </w:rPr>
        <w:t>11</w:t>
      </w:r>
      <w:r w:rsidRPr="00C95CA8">
        <w:rPr>
          <w:sz w:val="22"/>
          <w:szCs w:val="22"/>
        </w:rPr>
        <w:t xml:space="preserve">%’s </w:t>
      </w:r>
      <w:proofErr w:type="gramStart"/>
      <w:r w:rsidRPr="00C95CA8">
        <w:rPr>
          <w:sz w:val="22"/>
          <w:szCs w:val="22"/>
        </w:rPr>
        <w:t>are</w:t>
      </w:r>
      <w:proofErr w:type="gramEnd"/>
      <w:r w:rsidRPr="00C95CA8">
        <w:rPr>
          <w:sz w:val="22"/>
          <w:szCs w:val="22"/>
        </w:rPr>
        <w:t xml:space="preserve"> calculated using Initial Cohort Headcount as the denominator.</w:t>
      </w:r>
    </w:p>
    <w:p w:rsidR="00296CA3" w:rsidRPr="00C6694F" w:rsidRDefault="00296CA3" w:rsidP="00296CA3">
      <w:pPr>
        <w:ind w:left="576"/>
        <w:rPr>
          <w:sz w:val="22"/>
          <w:szCs w:val="22"/>
        </w:rPr>
      </w:pPr>
      <w:r w:rsidRPr="00C95CA8">
        <w:rPr>
          <w:sz w:val="22"/>
          <w:szCs w:val="22"/>
          <w:vertAlign w:val="superscript"/>
        </w:rPr>
        <w:t>12</w:t>
      </w:r>
      <w:r w:rsidRPr="00C95CA8">
        <w:rPr>
          <w:sz w:val="22"/>
          <w:szCs w:val="22"/>
        </w:rPr>
        <w:t>A 150% graduation rate is the proportion of a cohort who successfully graduated within 150% of expected completion time (6 years for 4-year programs, 3 years for 2-year programs).</w:t>
      </w:r>
    </w:p>
    <w:p w:rsidR="00296CA3" w:rsidRPr="00C6694F" w:rsidRDefault="00296CA3" w:rsidP="00296CA3">
      <w:pPr>
        <w:ind w:left="576"/>
        <w:rPr>
          <w:sz w:val="22"/>
          <w:szCs w:val="22"/>
        </w:rPr>
      </w:pPr>
    </w:p>
    <w:p w:rsidR="00071D01" w:rsidRDefault="00071D01" w:rsidP="005D5835">
      <w:pPr>
        <w:ind w:left="576"/>
      </w:pPr>
    </w:p>
    <w:p w:rsidR="00296CA3" w:rsidRPr="00233964" w:rsidRDefault="00296CA3" w:rsidP="00296CA3">
      <w:pPr>
        <w:spacing w:after="120"/>
        <w:ind w:left="576" w:hanging="288"/>
        <w:rPr>
          <w:b/>
          <w:i/>
          <w:sz w:val="28"/>
          <w:szCs w:val="28"/>
        </w:rPr>
      </w:pPr>
      <w:r w:rsidRPr="00FC4CC5">
        <w:rPr>
          <w:b/>
          <w:i/>
          <w:sz w:val="28"/>
          <w:szCs w:val="28"/>
        </w:rPr>
        <w:t xml:space="preserve">H. Student Support Services </w:t>
      </w:r>
      <w:r w:rsidRPr="00FC4CC5">
        <w:rPr>
          <w:b/>
          <w:i/>
        </w:rPr>
        <w:t>(please include discipline specific details)</w:t>
      </w:r>
      <w:r w:rsidR="002E334A">
        <w:rPr>
          <w:b/>
          <w:i/>
        </w:rPr>
        <w:t xml:space="preserve"> </w:t>
      </w:r>
      <w:r w:rsidR="004E1C61" w:rsidRPr="00FC4CC5">
        <w:rPr>
          <w:b/>
          <w:i/>
        </w:rPr>
        <w:t xml:space="preserve">Updated </w:t>
      </w:r>
      <w:r w:rsidR="00FC4CC5" w:rsidRPr="00FC4CC5">
        <w:rPr>
          <w:b/>
          <w:i/>
        </w:rPr>
        <w:t>August 2023</w:t>
      </w:r>
    </w:p>
    <w:p w:rsidR="00296CA3" w:rsidRPr="003B21E9" w:rsidRDefault="00296CA3" w:rsidP="00296CA3">
      <w:pPr>
        <w:spacing w:before="120"/>
        <w:rPr>
          <w:rFonts w:ascii="Arial" w:hAnsi="Arial" w:cs="Arial"/>
          <w:bCs/>
        </w:rPr>
      </w:pPr>
    </w:p>
    <w:p w:rsidR="004E1C61" w:rsidRPr="00B35BA9" w:rsidRDefault="004E1C61" w:rsidP="004E1C61">
      <w:pPr>
        <w:pStyle w:val="paragraph"/>
        <w:ind w:left="576"/>
        <w:textAlignment w:val="baseline"/>
      </w:pPr>
      <w:r w:rsidRPr="00B35BA9">
        <w:rPr>
          <w:rStyle w:val="normaltextrun"/>
          <w:b/>
          <w:bCs/>
          <w:color w:val="000000"/>
        </w:rPr>
        <w:t>Educational Support Services at the Center for Academic Support and Excellence (CASE)</w:t>
      </w:r>
    </w:p>
    <w:p w:rsidR="004E1C61" w:rsidRPr="00B35BA9" w:rsidRDefault="004E1C61" w:rsidP="004E1C61">
      <w:pPr>
        <w:pStyle w:val="paragraph"/>
        <w:ind w:left="576"/>
        <w:textAlignment w:val="baseline"/>
      </w:pPr>
      <w:r w:rsidRPr="00B35BA9">
        <w:rPr>
          <w:rStyle w:val="normaltextrun"/>
          <w:color w:val="000000"/>
        </w:rPr>
        <w:t>The mission of Educational Support Services (ESS) at the Center for Academic Support and Excellence (CASE) is to offer services which promote the development and success of our students both academically and technically. ESS coordinates with all academic departments to offer a wide variety of tutoring services to assist students in achieving their greatest potential.</w:t>
      </w:r>
      <w:r w:rsidRPr="00B35BA9">
        <w:rPr>
          <w:rStyle w:val="eop"/>
          <w:color w:val="000000"/>
        </w:rPr>
        <w:t> </w:t>
      </w:r>
    </w:p>
    <w:p w:rsidR="00FC4CC5" w:rsidRDefault="00FC4CC5" w:rsidP="004E1C61">
      <w:pPr>
        <w:pStyle w:val="paragraph"/>
        <w:ind w:left="576"/>
        <w:textAlignment w:val="baseline"/>
        <w:rPr>
          <w:rStyle w:val="normaltextrun"/>
          <w:color w:val="000000"/>
        </w:rPr>
      </w:pPr>
      <w:r w:rsidRPr="00FC4CC5">
        <w:rPr>
          <w:rStyle w:val="normaltextrun"/>
          <w:color w:val="000000"/>
        </w:rPr>
        <w:t xml:space="preserve">The Center is conveniently located in the Jared Van Wagenen Library.  It is the central tutorial and study location for the campus.  The Center is open to all students and is totally free of charge.  There is no limit to the number of hours a student may receive assistance. Tutors work during specific days and times.  Tutoring is conducted in person or ONLINE through NET Tutor.  Tutoring may be conducted in a whole or small group setting.   </w:t>
      </w:r>
    </w:p>
    <w:p w:rsidR="004E1C61" w:rsidRPr="00B35BA9" w:rsidRDefault="004E1C61" w:rsidP="004E1C61">
      <w:pPr>
        <w:pStyle w:val="paragraph"/>
        <w:ind w:left="576"/>
        <w:textAlignment w:val="baseline"/>
      </w:pPr>
      <w:proofErr w:type="spellStart"/>
      <w:r w:rsidRPr="00B35BA9">
        <w:rPr>
          <w:rStyle w:val="normaltextrun"/>
          <w:b/>
          <w:bCs/>
          <w:color w:val="000000"/>
        </w:rPr>
        <w:t>AccessABILITY</w:t>
      </w:r>
      <w:proofErr w:type="spellEnd"/>
      <w:r w:rsidRPr="00B35BA9">
        <w:rPr>
          <w:rStyle w:val="normaltextrun"/>
          <w:b/>
          <w:bCs/>
          <w:color w:val="000000"/>
        </w:rPr>
        <w:t xml:space="preserve"> Resources Office</w:t>
      </w:r>
    </w:p>
    <w:p w:rsidR="00FC4CC5" w:rsidRDefault="00FC4CC5" w:rsidP="004E1C61">
      <w:pPr>
        <w:pStyle w:val="paragraph"/>
        <w:ind w:left="576"/>
        <w:textAlignment w:val="baseline"/>
        <w:rPr>
          <w:rStyle w:val="normaltextrun"/>
          <w:color w:val="000000"/>
        </w:rPr>
      </w:pPr>
      <w:r w:rsidRPr="00FC4CC5">
        <w:rPr>
          <w:rStyle w:val="normaltextrun"/>
          <w:color w:val="000000"/>
        </w:rPr>
        <w:t xml:space="preserve">The primary objective of this office is to develop and maintain a supportive campus environment that promotes academic achievement and personal growth for students with disabilities. Services provided by this office are based on each student's documentation and are tailored to each student's unique, individual needs. We put into place the civil rights mandate of Section 504 of the Rehabilitation Act of 1973 and Americans with Disabilities Act (ADA) and its amendments that ensure equal opportunity and access for all students who have a disability. It is an institutional responsibility to </w:t>
      </w:r>
      <w:proofErr w:type="gramStart"/>
      <w:r w:rsidRPr="00FC4CC5">
        <w:rPr>
          <w:rStyle w:val="normaltextrun"/>
          <w:color w:val="000000"/>
        </w:rPr>
        <w:t>be in compliance with</w:t>
      </w:r>
      <w:proofErr w:type="gramEnd"/>
      <w:r w:rsidRPr="00FC4CC5">
        <w:rPr>
          <w:rStyle w:val="normaltextrun"/>
          <w:color w:val="000000"/>
        </w:rPr>
        <w:t xml:space="preserve"> the law in the provision of academic accommodations. </w:t>
      </w:r>
    </w:p>
    <w:p w:rsidR="004E1C61" w:rsidRPr="00B35BA9" w:rsidRDefault="004E1C61" w:rsidP="004E1C61">
      <w:pPr>
        <w:pStyle w:val="paragraph"/>
        <w:ind w:left="576"/>
        <w:textAlignment w:val="baseline"/>
      </w:pPr>
      <w:r w:rsidRPr="00B35BA9">
        <w:rPr>
          <w:rStyle w:val="normaltextrun"/>
          <w:color w:val="000000"/>
        </w:rPr>
        <w:lastRenderedPageBreak/>
        <w:t>SUNY Cobleskill is committed to providing equal access for all qualified individuals to its programs and educational opportunities.</w:t>
      </w:r>
      <w:r w:rsidRPr="00B35BA9">
        <w:rPr>
          <w:rStyle w:val="eop"/>
          <w:color w:val="000000"/>
        </w:rPr>
        <w:t> </w:t>
      </w:r>
    </w:p>
    <w:p w:rsidR="004E1C61" w:rsidRPr="00B35BA9" w:rsidRDefault="004E1C61" w:rsidP="004E1C61">
      <w:pPr>
        <w:pStyle w:val="paragraph"/>
        <w:ind w:left="576"/>
        <w:textAlignment w:val="baseline"/>
      </w:pPr>
      <w:r w:rsidRPr="00B35BA9">
        <w:rPr>
          <w:rStyle w:val="normaltextrun"/>
          <w:color w:val="000000"/>
        </w:rPr>
        <w:t>(Please note that the laws that apply at the post-secondary level are different than those at the k-12 level. See Laws)</w:t>
      </w:r>
      <w:r w:rsidRPr="00B35BA9">
        <w:rPr>
          <w:rStyle w:val="eop"/>
          <w:color w:val="000000"/>
        </w:rPr>
        <w:t> </w:t>
      </w:r>
    </w:p>
    <w:p w:rsidR="004E1C61" w:rsidRPr="00B35BA9" w:rsidRDefault="004E1C61" w:rsidP="004E1C61">
      <w:pPr>
        <w:pStyle w:val="paragraph"/>
        <w:ind w:left="576"/>
        <w:textAlignment w:val="baseline"/>
      </w:pPr>
      <w:r w:rsidRPr="00B35BA9">
        <w:rPr>
          <w:rStyle w:val="normaltextrun"/>
          <w:b/>
          <w:bCs/>
          <w:color w:val="000000"/>
        </w:rPr>
        <w:t>Educational Opportunity Program</w:t>
      </w:r>
    </w:p>
    <w:p w:rsidR="004E1C61" w:rsidRPr="00B35BA9" w:rsidRDefault="004E1C61" w:rsidP="004E1C61">
      <w:pPr>
        <w:pStyle w:val="paragraph"/>
        <w:ind w:left="576"/>
        <w:textAlignment w:val="baseline"/>
      </w:pPr>
      <w:r w:rsidRPr="00B35BA9">
        <w:rPr>
          <w:rStyle w:val="normaltextrun"/>
          <w:color w:val="000000"/>
        </w:rPr>
        <w:t>Educational Support Services consists of an array of supplemental, pragmatic student supports and initiatives primarily instituted to bolster student achievement, improve student persistence, and facilitate person-to-person engagement utilizing holistic student development principles.</w:t>
      </w:r>
      <w:r w:rsidRPr="00B35BA9">
        <w:rPr>
          <w:rStyle w:val="eop"/>
          <w:color w:val="000000"/>
        </w:rPr>
        <w:t> </w:t>
      </w:r>
    </w:p>
    <w:p w:rsidR="004E1C61" w:rsidRPr="00B35BA9" w:rsidRDefault="004E1C61" w:rsidP="004E1C61">
      <w:pPr>
        <w:pStyle w:val="paragraph"/>
        <w:ind w:left="576"/>
        <w:textAlignment w:val="baseline"/>
      </w:pPr>
      <w:r w:rsidRPr="00B35BA9">
        <w:rPr>
          <w:rStyle w:val="normaltextrun"/>
          <w:b/>
          <w:bCs/>
          <w:color w:val="000000"/>
          <w:lang w:val="en"/>
        </w:rPr>
        <w:t>SOS - Second Opportunity @ Success Program</w:t>
      </w:r>
      <w:r w:rsidRPr="00B35BA9">
        <w:rPr>
          <w:rStyle w:val="eop"/>
          <w:color w:val="000000"/>
        </w:rPr>
        <w:t> </w:t>
      </w:r>
    </w:p>
    <w:p w:rsidR="004E1C61" w:rsidRPr="00B35BA9" w:rsidRDefault="004E1C61" w:rsidP="004E1C61">
      <w:pPr>
        <w:pStyle w:val="paragraph"/>
        <w:ind w:left="576"/>
        <w:textAlignment w:val="baseline"/>
      </w:pPr>
      <w:r w:rsidRPr="00B35BA9">
        <w:rPr>
          <w:rStyle w:val="normaltextrun"/>
          <w:color w:val="000000"/>
          <w:lang w:val="en"/>
        </w:rPr>
        <w:t>The Second Opportunity @ Success (SOS) Program provides students at various stages of the academic recovery process with supplemental instruction, professional counseling and peer to peer mentoring support.</w:t>
      </w:r>
      <w:r w:rsidRPr="00B35BA9">
        <w:rPr>
          <w:rStyle w:val="eop"/>
          <w:color w:val="000000"/>
        </w:rPr>
        <w:t> </w:t>
      </w:r>
    </w:p>
    <w:p w:rsidR="004E1C61" w:rsidRPr="00B35BA9" w:rsidRDefault="004E1C61" w:rsidP="004E1C61">
      <w:pPr>
        <w:pStyle w:val="paragraph"/>
        <w:ind w:left="576"/>
        <w:textAlignment w:val="baseline"/>
      </w:pPr>
      <w:r w:rsidRPr="00B35BA9">
        <w:rPr>
          <w:rStyle w:val="normaltextrun"/>
          <w:b/>
          <w:bCs/>
          <w:color w:val="000000"/>
          <w:lang w:val="en"/>
        </w:rPr>
        <w:t>Campus Coach Initiative</w:t>
      </w:r>
      <w:r w:rsidRPr="00B35BA9">
        <w:rPr>
          <w:rStyle w:val="eop"/>
          <w:color w:val="000000"/>
        </w:rPr>
        <w:t> </w:t>
      </w:r>
    </w:p>
    <w:p w:rsidR="004E1C61" w:rsidRPr="00B35BA9" w:rsidRDefault="004E1C61" w:rsidP="004E1C61">
      <w:pPr>
        <w:pStyle w:val="paragraph"/>
        <w:ind w:left="576"/>
        <w:textAlignment w:val="baseline"/>
      </w:pPr>
      <w:r w:rsidRPr="00B35BA9">
        <w:rPr>
          <w:rStyle w:val="normaltextrun"/>
          <w:color w:val="000000"/>
          <w:lang w:val="en"/>
        </w:rPr>
        <w:t>The Campus Coach Program is a faculty/staff lead mentorship program. Faculty and staff provide designated students (mentees) from the SOS Program motivational influenced mentoring to encourage academic and social success over the course of a semester.</w:t>
      </w:r>
      <w:r w:rsidRPr="00B35BA9">
        <w:rPr>
          <w:rStyle w:val="eop"/>
          <w:color w:val="000000"/>
        </w:rPr>
        <w:t> </w:t>
      </w:r>
    </w:p>
    <w:p w:rsidR="004E1C61" w:rsidRPr="00B35BA9" w:rsidRDefault="004E1C61" w:rsidP="004E1C61">
      <w:pPr>
        <w:pStyle w:val="paragraph"/>
        <w:ind w:left="576"/>
        <w:textAlignment w:val="baseline"/>
      </w:pPr>
      <w:r w:rsidRPr="00B35BA9">
        <w:rPr>
          <w:rStyle w:val="normaltextrun"/>
          <w:b/>
          <w:bCs/>
          <w:color w:val="000000"/>
          <w:lang w:val="en"/>
        </w:rPr>
        <w:t>Comprehensive Academic Recovery Education (CARE) Program</w:t>
      </w:r>
      <w:r w:rsidRPr="00B35BA9">
        <w:rPr>
          <w:rStyle w:val="eop"/>
          <w:color w:val="000000"/>
        </w:rPr>
        <w:t> </w:t>
      </w:r>
    </w:p>
    <w:p w:rsidR="004E1C61" w:rsidRPr="00B35BA9" w:rsidRDefault="004E1C61" w:rsidP="004E1C61">
      <w:pPr>
        <w:pStyle w:val="paragraph"/>
        <w:ind w:left="576"/>
        <w:textAlignment w:val="baseline"/>
      </w:pPr>
      <w:r w:rsidRPr="00B35BA9">
        <w:rPr>
          <w:rStyle w:val="normaltextrun"/>
          <w:color w:val="000000"/>
          <w:lang w:val="en"/>
        </w:rPr>
        <w:t>The CARE Program provides students with supplemental, comprehensive, instructional opportunities through a series of seminars and workshops customized based on each student</w:t>
      </w:r>
      <w:r>
        <w:rPr>
          <w:rStyle w:val="normaltextrun"/>
          <w:color w:val="000000"/>
          <w:lang w:val="en"/>
        </w:rPr>
        <w:t>’</w:t>
      </w:r>
      <w:r w:rsidRPr="00B35BA9">
        <w:rPr>
          <w:rStyle w:val="normaltextrun"/>
          <w:color w:val="000000"/>
          <w:lang w:val="en"/>
        </w:rPr>
        <w:t>s enrollment status.</w:t>
      </w:r>
      <w:r w:rsidRPr="00B35BA9">
        <w:rPr>
          <w:rStyle w:val="eop"/>
          <w:color w:val="000000"/>
        </w:rPr>
        <w:t> </w:t>
      </w:r>
    </w:p>
    <w:p w:rsidR="00762EAF" w:rsidRDefault="00762EAF" w:rsidP="00762EAF">
      <w:pPr>
        <w:ind w:left="576"/>
        <w:rPr>
          <w:rStyle w:val="normaltextrun"/>
          <w:b/>
          <w:color w:val="000000"/>
        </w:rPr>
      </w:pPr>
      <w:r w:rsidRPr="00BF05CD">
        <w:rPr>
          <w:rStyle w:val="normaltextrun"/>
          <w:b/>
          <w:color w:val="000000"/>
        </w:rPr>
        <w:t>International Education Services</w:t>
      </w:r>
    </w:p>
    <w:p w:rsidR="00762EAF" w:rsidRPr="00BF05CD" w:rsidRDefault="00762EAF" w:rsidP="00762EAF">
      <w:pPr>
        <w:ind w:left="576"/>
        <w:rPr>
          <w:rStyle w:val="normaltextrun"/>
          <w:b/>
          <w:color w:val="000000"/>
        </w:rPr>
      </w:pPr>
    </w:p>
    <w:p w:rsidR="00296CA3" w:rsidRDefault="00FC4CC5" w:rsidP="00296CA3">
      <w:pPr>
        <w:ind w:left="576"/>
        <w:rPr>
          <w:rStyle w:val="normaltextrun"/>
          <w:color w:val="000000"/>
        </w:rPr>
      </w:pPr>
      <w:r w:rsidRPr="00FC4CC5">
        <w:rPr>
          <w:rStyle w:val="normaltextrun"/>
          <w:color w:val="000000"/>
        </w:rPr>
        <w:t>International Education services are available to international students studying on the SUNY Cobleskill campus and Cobleskill students interested in studying abroad.  As the college focuses on increased diversity in education, this service, administered by the Office of International Programs, broadens the cross-cultural skill development of our students both at home and overseas. International education supports the goals of providing global learning opportunities for all students and tools for faculty to internationalize the curriculum.</w:t>
      </w:r>
    </w:p>
    <w:p w:rsidR="00FC4CC5" w:rsidRDefault="00FC4CC5" w:rsidP="00296CA3">
      <w:pPr>
        <w:ind w:left="576"/>
      </w:pPr>
    </w:p>
    <w:p w:rsidR="00296CA3" w:rsidRPr="000007E2" w:rsidRDefault="00296CA3" w:rsidP="00296CA3">
      <w:pPr>
        <w:spacing w:after="120"/>
        <w:rPr>
          <w:b/>
          <w:sz w:val="28"/>
          <w:szCs w:val="28"/>
        </w:rPr>
      </w:pPr>
      <w:r w:rsidRPr="000007E2">
        <w:rPr>
          <w:b/>
          <w:sz w:val="28"/>
          <w:szCs w:val="28"/>
        </w:rPr>
        <w:t>V. Support for the Program</w:t>
      </w:r>
    </w:p>
    <w:p w:rsidR="004E1C61" w:rsidRPr="000007E2" w:rsidRDefault="004E1C61" w:rsidP="004E1C61">
      <w:pPr>
        <w:spacing w:after="120"/>
        <w:ind w:left="576" w:hanging="288"/>
        <w:rPr>
          <w:b/>
          <w:i/>
          <w:sz w:val="28"/>
          <w:szCs w:val="28"/>
        </w:rPr>
      </w:pPr>
      <w:r w:rsidRPr="00B31C7A">
        <w:rPr>
          <w:b/>
          <w:i/>
          <w:sz w:val="28"/>
          <w:szCs w:val="28"/>
          <w:highlight w:val="green"/>
        </w:rPr>
        <w:t>A. Library Resources</w:t>
      </w:r>
      <w:r>
        <w:rPr>
          <w:b/>
          <w:i/>
          <w:sz w:val="28"/>
          <w:szCs w:val="28"/>
          <w:highlight w:val="green"/>
        </w:rPr>
        <w:t xml:space="preserve"> (Updated </w:t>
      </w:r>
      <w:r w:rsidR="00FC4CC5">
        <w:rPr>
          <w:b/>
          <w:i/>
          <w:sz w:val="28"/>
          <w:szCs w:val="28"/>
          <w:highlight w:val="green"/>
        </w:rPr>
        <w:t>Aug 2023</w:t>
      </w:r>
      <w:r>
        <w:rPr>
          <w:b/>
          <w:i/>
          <w:sz w:val="28"/>
          <w:szCs w:val="28"/>
          <w:highlight w:val="green"/>
        </w:rPr>
        <w:t>)</w:t>
      </w:r>
    </w:p>
    <w:p w:rsidR="004E1C61" w:rsidRPr="00CA07C8" w:rsidRDefault="004E1C61" w:rsidP="004E1C61">
      <w:pPr>
        <w:ind w:left="288"/>
      </w:pPr>
      <w:r w:rsidRPr="00CA07C8">
        <w:t xml:space="preserve">Van Wagenen Library strives to make SUNY Cobleskill a better place to live, learn, and work by providing students, faculty, staff, and community members a welcoming </w:t>
      </w:r>
      <w:r w:rsidRPr="00CA07C8">
        <w:lastRenderedPageBreak/>
        <w:t>environment, access to information and experiences that help extend theory into practice, and the resources and training required to effectively discover, create, and share knowledge.</w:t>
      </w:r>
    </w:p>
    <w:p w:rsidR="004E1C61" w:rsidRPr="00CA07C8" w:rsidRDefault="004E1C61" w:rsidP="004E1C61"/>
    <w:p w:rsidR="004E1C61" w:rsidRPr="00CA07C8" w:rsidRDefault="004E1C61" w:rsidP="004E1C61">
      <w:pPr>
        <w:ind w:left="288"/>
      </w:pPr>
      <w:r w:rsidRPr="00CA07C8">
        <w:t>In fulfilling its mission, the Van Wagenen Library maintains a physical collection comprised of 55,000 books, films, and LPs</w:t>
      </w:r>
      <w:r w:rsidRPr="00CA07C8">
        <w:rPr>
          <w:strike/>
        </w:rPr>
        <w:t>,</w:t>
      </w:r>
      <w:r w:rsidRPr="00CA07C8">
        <w:t xml:space="preserve"> and a comprehensive collection of children’s books. Additionally, we have access to approximately 90,000 e-books. In steps toward assisting in student success, the Library provides access to many textbooks. It has cultivated a growing collection of textbooks that can be designated a reserve item, which means that a book is housed at the circulation desk with a limited loan time to ensure equitable access to the book. The Library also offers video streaming services.  In efforts to make the Library a welcoming environment, we maintain an extensive collection of current popular reading books. The popular reading collection sees significant use. In addition to recreational reading, the Library has board games, a chess set, and 3D printing services. </w:t>
      </w:r>
    </w:p>
    <w:p w:rsidR="004E1C61" w:rsidRPr="00CA07C8" w:rsidRDefault="004E1C61" w:rsidP="004E1C61">
      <w:pPr>
        <w:ind w:left="288"/>
      </w:pPr>
    </w:p>
    <w:p w:rsidR="004E1C61" w:rsidRPr="00CA07C8" w:rsidRDefault="004E1C61" w:rsidP="004E1C61">
      <w:pPr>
        <w:ind w:left="288"/>
      </w:pPr>
      <w:r w:rsidRPr="00CA07C8">
        <w:t xml:space="preserve">Book loans last until the end of each semester, and loans for specialized collections such as popular reading and juvenile books last for 14 days. Students can check out Kindles, laptops, and equipment such as cameras. This equipment is regularly maintained and updated.  </w:t>
      </w:r>
    </w:p>
    <w:p w:rsidR="004E1C61" w:rsidRPr="00CA07C8" w:rsidRDefault="004E1C61" w:rsidP="004E1C61">
      <w:pPr>
        <w:ind w:left="288"/>
      </w:pPr>
    </w:p>
    <w:p w:rsidR="004E1C61" w:rsidRPr="00CA07C8" w:rsidRDefault="004E1C61" w:rsidP="004E1C61">
      <w:pPr>
        <w:ind w:left="288"/>
      </w:pPr>
      <w:r w:rsidRPr="00CA07C8">
        <w:t xml:space="preserve">The Van Wagenen Library maintains a large scope of periodicals and research databases. All SUNY libraries share a common package of database offerings that cover most of the core or general curriculum. The Van Wagenen Library also subscribes to research databases that specifically support the Cobleskill curriculum. Students can search the approximately 100 databases and the library holdings with a unified </w:t>
      </w:r>
      <w:proofErr w:type="spellStart"/>
      <w:r w:rsidRPr="00CA07C8">
        <w:rPr>
          <w:i/>
          <w:iCs/>
        </w:rPr>
        <w:t>MultiSearch</w:t>
      </w:r>
      <w:proofErr w:type="spellEnd"/>
      <w:r w:rsidRPr="00CA07C8">
        <w:rPr>
          <w:i/>
          <w:iCs/>
        </w:rPr>
        <w:t xml:space="preserve"> </w:t>
      </w:r>
      <w:r w:rsidRPr="00CA07C8">
        <w:t>discovery system. A single subject search from the Library’s home page will yield a list of books, e-books, articles, primary source documents, government documents, and dissertations. This unified search feature also searches the Library’s periodical subscriptions. The Library maintains approximately 100 current periodical subscriptions (i.e. scholarly journals, trade journals, and magazines). Some of these titles are only available in online format, but we also have many print periodicals. If the Library does not have the needed material, a patron can request it via our Interlibrary Loan system. Additional access options are also available with assistance of a Librarian. If the needed material is not readily available via the Interlibrary Loan network, a Librarian may be able to acquire an article through a pay-per-use article delivery service or purchase a needed book.</w:t>
      </w:r>
    </w:p>
    <w:p w:rsidR="004E1C61" w:rsidRPr="00CA07C8" w:rsidRDefault="004E1C61" w:rsidP="004E1C61">
      <w:pPr>
        <w:ind w:left="288"/>
      </w:pPr>
    </w:p>
    <w:p w:rsidR="004E1C61" w:rsidRPr="00CA07C8" w:rsidRDefault="004E1C61" w:rsidP="004E1C61">
      <w:pPr>
        <w:ind w:left="288"/>
      </w:pPr>
      <w:r w:rsidRPr="00CA07C8">
        <w:t xml:space="preserve">The Van Wagenen Librarians liaise with assigned academic program areas. As liaisons, they meet regularly with their program area faculty and, through these relationships, keep the Library’s collection up to date and relevant to the academic field. The Van Wagenen Library’s acquisition budget is managed through strategically planned subject allocations that also allow for some flexibility if there is an unexpected need to purchase material that is beyond the planned collection development.  All new course proposals must have the review and endorsement of the department’s liaison Librarian to ensure adequate resources are available. </w:t>
      </w:r>
    </w:p>
    <w:p w:rsidR="004E1C61" w:rsidRPr="00CA07C8" w:rsidRDefault="004E1C61" w:rsidP="004E1C61">
      <w:pPr>
        <w:ind w:left="288"/>
      </w:pPr>
    </w:p>
    <w:p w:rsidR="004E1C61" w:rsidRPr="00CA07C8" w:rsidRDefault="004E1C61" w:rsidP="004E1C61">
      <w:pPr>
        <w:ind w:left="288"/>
      </w:pPr>
      <w:r w:rsidRPr="00CA07C8">
        <w:t xml:space="preserve">Librarians offer extensive reference and research assistance. They maintain regular traditional reference desk shifts. Also, reference and research assistance </w:t>
      </w:r>
      <w:proofErr w:type="gramStart"/>
      <w:r w:rsidRPr="00CA07C8">
        <w:t>is</w:t>
      </w:r>
      <w:proofErr w:type="gramEnd"/>
      <w:r w:rsidRPr="00CA07C8">
        <w:t xml:space="preserve"> available to students via live chat, texting, and email. While the Librarians actively maintain reference services in all of </w:t>
      </w:r>
      <w:r w:rsidRPr="00CA07C8">
        <w:lastRenderedPageBreak/>
        <w:t>these communication formats, the Van Wagenen Library is a member of an international consortium that provides supplementary chat reference services 24 hours daily, seven days a week. The Library building is open 87 hours per week while classes are in session. There is a small lounge within the building that is accessible 24 hours a day.</w:t>
      </w:r>
    </w:p>
    <w:p w:rsidR="004E1C61" w:rsidRPr="00CA07C8" w:rsidRDefault="004E1C61" w:rsidP="004E1C61">
      <w:pPr>
        <w:ind w:left="288"/>
      </w:pPr>
    </w:p>
    <w:p w:rsidR="000007E2" w:rsidRDefault="004E1C61" w:rsidP="004E1C61">
      <w:pPr>
        <w:ind w:left="288"/>
      </w:pPr>
      <w:r w:rsidRPr="00CA07C8">
        <w:t xml:space="preserve">The Library’s Instruction Program works to expand the information literacy skills necessary to succeed academically and to effectively navigate our complex, data-driven world. Through class sessions and individual research consultation appointments, students receive practical instruction in how to find, access, evaluate, use, and cite appropriate information sources. Information Literacy sessions are typically held in the Library Learning Lab on the second floor of the Library, where students can actively apply their developing research skills through exercises designed to directly relate to their class assignments. Sessions like these are customized to the course level, subject, and unique research needs of the students. Additionally, the Embedded Librarian service allows a faculty member to engage an instructional librarian more directly and consistently over the course of a semester. The embedded librarian schedules multiple class sessions or individual appointments with students and has a presence in the course </w:t>
      </w:r>
      <w:r w:rsidR="00FC4CC5">
        <w:t>Brightspace</w:t>
      </w:r>
      <w:r w:rsidRPr="00CA07C8">
        <w:t xml:space="preserve"> shell, allowing for guidance through all stages of more complex research projects. These hands-on, in-person instruction efforts are supplemented by a range of asynchronous online learning objects including interactive tutorials, step-by-step instructional screen casts, a Frequently-Asked-Questions page, and Library Guides targeted to the unique research needs of specific courses.</w:t>
      </w:r>
    </w:p>
    <w:p w:rsidR="000007E2" w:rsidRDefault="000007E2" w:rsidP="000007E2">
      <w:pPr>
        <w:ind w:left="576"/>
      </w:pPr>
    </w:p>
    <w:p w:rsidR="00D8322E" w:rsidRPr="000007E2" w:rsidRDefault="00D8322E" w:rsidP="00D8322E">
      <w:pPr>
        <w:spacing w:after="120"/>
        <w:ind w:left="576" w:hanging="288"/>
        <w:rPr>
          <w:b/>
          <w:i/>
          <w:sz w:val="28"/>
          <w:szCs w:val="28"/>
        </w:rPr>
      </w:pPr>
      <w:r w:rsidRPr="00FC4CC5">
        <w:rPr>
          <w:b/>
          <w:i/>
          <w:sz w:val="28"/>
          <w:szCs w:val="28"/>
        </w:rPr>
        <w:t xml:space="preserve">B. Facilities, Equipment and Supplies (Updated </w:t>
      </w:r>
      <w:r w:rsidR="00FC4CC5" w:rsidRPr="00FC4CC5">
        <w:rPr>
          <w:b/>
          <w:i/>
          <w:sz w:val="28"/>
          <w:szCs w:val="28"/>
        </w:rPr>
        <w:t>Aug 2023</w:t>
      </w:r>
      <w:r w:rsidRPr="00FC4CC5">
        <w:rPr>
          <w:b/>
          <w:i/>
          <w:sz w:val="28"/>
          <w:szCs w:val="28"/>
        </w:rPr>
        <w:t>)</w:t>
      </w:r>
    </w:p>
    <w:p w:rsidR="00D8322E" w:rsidRDefault="00FC4CC5" w:rsidP="00D8322E">
      <w:pPr>
        <w:ind w:left="288"/>
        <w:rPr>
          <w:color w:val="000000" w:themeColor="text1"/>
        </w:rPr>
      </w:pPr>
      <w:r w:rsidRPr="00FC4CC5">
        <w:rPr>
          <w:color w:val="000000" w:themeColor="text1"/>
        </w:rPr>
        <w:t>Academic programs are supported by annual department budgets.  Budget development typically begins in late winter with a budget call letter from the Senior Vice President for Finance and Administration to all departments requesting that work begin on developing a budget for the next fiscal year beginning July 1.  Departments must address the following in this initial budget request: requests for extra service, adjuncts, student and temporary positions; requests for professional development; and requests for supplies and equipment. In addition, the department should describe how the assessment process informs funding needs.  All requests must be approved by the appropriate Dean and Provost for academic departments, and the appropriate Vice President for non-academic departments.  The President and Senior Vice President for Finance and Administration will sign off on the final approval.  The Office for Budget and Planning then distributes the final budget to all departments.</w:t>
      </w:r>
    </w:p>
    <w:p w:rsidR="00FC4CC5" w:rsidRDefault="00FC4CC5" w:rsidP="00D8322E">
      <w:pPr>
        <w:ind w:left="288"/>
        <w:rPr>
          <w:color w:val="000000" w:themeColor="text1"/>
        </w:rPr>
      </w:pPr>
    </w:p>
    <w:p w:rsidR="00296CA3" w:rsidRPr="004E1C61" w:rsidRDefault="00296CA3" w:rsidP="004E1C61">
      <w:pPr>
        <w:ind w:left="576"/>
        <w:rPr>
          <w:i/>
        </w:rPr>
      </w:pPr>
      <w:r>
        <w:rPr>
          <w:i/>
          <w:highlight w:val="yellow"/>
        </w:rPr>
        <w:t xml:space="preserve">Departments should now discuss </w:t>
      </w:r>
      <w:r w:rsidRPr="00F10F27">
        <w:rPr>
          <w:i/>
          <w:highlight w:val="yellow"/>
        </w:rPr>
        <w:t xml:space="preserve">budget data for </w:t>
      </w:r>
      <w:r>
        <w:rPr>
          <w:i/>
          <w:highlight w:val="yellow"/>
        </w:rPr>
        <w:t xml:space="preserve">their department as it affects the program being reviewed.  Should also address </w:t>
      </w:r>
      <w:r w:rsidRPr="00910FD9">
        <w:rPr>
          <w:i/>
          <w:highlight w:val="yellow"/>
        </w:rPr>
        <w:t>adequacy of facilities and equipment in supporting the program being reviewed.</w:t>
      </w:r>
    </w:p>
    <w:p w:rsidR="00296CA3" w:rsidRDefault="00296CA3" w:rsidP="00296CA3">
      <w:pPr>
        <w:ind w:left="576"/>
      </w:pPr>
    </w:p>
    <w:p w:rsidR="004E1C61" w:rsidRPr="000007E2" w:rsidRDefault="004E1C61" w:rsidP="004E1C61">
      <w:pPr>
        <w:spacing w:after="120"/>
        <w:ind w:left="576" w:hanging="288"/>
        <w:rPr>
          <w:b/>
          <w:i/>
          <w:sz w:val="28"/>
          <w:szCs w:val="28"/>
        </w:rPr>
      </w:pPr>
      <w:r w:rsidRPr="00FC4CC5">
        <w:rPr>
          <w:b/>
          <w:i/>
          <w:sz w:val="28"/>
          <w:szCs w:val="28"/>
        </w:rPr>
        <w:t>C. Access to Technology (</w:t>
      </w:r>
      <w:r w:rsidR="00FC4CC5" w:rsidRPr="00FC4CC5">
        <w:rPr>
          <w:b/>
          <w:i/>
          <w:sz w:val="28"/>
          <w:szCs w:val="28"/>
        </w:rPr>
        <w:t>Reviewed Aug 2023</w:t>
      </w:r>
      <w:r w:rsidRPr="00FC4CC5">
        <w:rPr>
          <w:b/>
          <w:i/>
          <w:sz w:val="28"/>
          <w:szCs w:val="28"/>
        </w:rPr>
        <w:t>)</w:t>
      </w:r>
      <w:r>
        <w:rPr>
          <w:b/>
          <w:i/>
          <w:sz w:val="28"/>
          <w:szCs w:val="28"/>
        </w:rPr>
        <w:t xml:space="preserve"> </w:t>
      </w:r>
    </w:p>
    <w:p w:rsidR="004E1C61" w:rsidRDefault="004E1C61" w:rsidP="004E1C61">
      <w:pPr>
        <w:ind w:left="576"/>
        <w:rPr>
          <w:szCs w:val="20"/>
        </w:rPr>
      </w:pPr>
    </w:p>
    <w:p w:rsidR="004E1C61" w:rsidRDefault="004E1C61" w:rsidP="004E1C61">
      <w:pPr>
        <w:ind w:left="288"/>
        <w:rPr>
          <w:sz w:val="22"/>
          <w:szCs w:val="22"/>
        </w:rPr>
      </w:pPr>
      <w:r>
        <w:t xml:space="preserve">The Information Technology Services (ITS) department provides centrally administered and supported computer, network, telecommunications, programming, integration, information security, helpdesk support, instructional technology, and digital media technology services for </w:t>
      </w:r>
      <w:r>
        <w:lastRenderedPageBreak/>
        <w:t xml:space="preserve">use by students, faculty, and staff engaged in academic and/or administrative activities for SUNY Cobleskill.  The ITS service mission includes maintaining the campus information technology infrastructure and assisting all segments of the campus community in making effective and efficient use of technology. </w:t>
      </w:r>
    </w:p>
    <w:p w:rsidR="004E1C61" w:rsidRDefault="004E1C61" w:rsidP="004E1C61"/>
    <w:p w:rsidR="004E1C61" w:rsidRDefault="004E1C61" w:rsidP="004E1C61">
      <w:pPr>
        <w:ind w:left="288"/>
      </w:pPr>
      <w:r>
        <w:t>Specific support from ITS for students, faculty, and staff includes the procurement, setup, operation and maintenance of IT hardware and software used in all centrally-operated labs, classrooms, the Library and in the offices of individual faculty and staff.  ITS operates, supervises, and maintains our campus Helpdesk center that assists students, faculty, and staff.</w:t>
      </w:r>
    </w:p>
    <w:p w:rsidR="004E1C61" w:rsidRDefault="004E1C61" w:rsidP="004E1C61">
      <w:pPr>
        <w:ind w:left="576"/>
      </w:pPr>
    </w:p>
    <w:p w:rsidR="00296CA3" w:rsidRPr="000007E2" w:rsidRDefault="00296CA3" w:rsidP="00296CA3">
      <w:pPr>
        <w:spacing w:after="120"/>
        <w:rPr>
          <w:b/>
          <w:sz w:val="28"/>
          <w:szCs w:val="28"/>
        </w:rPr>
      </w:pPr>
      <w:r w:rsidRPr="000007E2">
        <w:rPr>
          <w:b/>
          <w:sz w:val="28"/>
          <w:szCs w:val="28"/>
        </w:rPr>
        <w:t>VI. Summary</w:t>
      </w:r>
    </w:p>
    <w:p w:rsidR="00296CA3" w:rsidRPr="000007E2" w:rsidRDefault="00296CA3" w:rsidP="00296CA3">
      <w:pPr>
        <w:spacing w:after="120"/>
        <w:ind w:left="576" w:hanging="288"/>
        <w:rPr>
          <w:b/>
          <w:i/>
          <w:sz w:val="28"/>
          <w:szCs w:val="28"/>
        </w:rPr>
      </w:pPr>
      <w:r w:rsidRPr="000007E2">
        <w:rPr>
          <w:b/>
          <w:i/>
          <w:sz w:val="28"/>
          <w:szCs w:val="28"/>
        </w:rPr>
        <w:t>A. Strengths of Program</w:t>
      </w:r>
    </w:p>
    <w:p w:rsidR="00296CA3" w:rsidRPr="000007E2" w:rsidRDefault="00296CA3" w:rsidP="00296CA3">
      <w:pPr>
        <w:ind w:left="576"/>
        <w:rPr>
          <w:i/>
        </w:rPr>
      </w:pPr>
      <w:r>
        <w:rPr>
          <w:i/>
          <w:highlight w:val="yellow"/>
        </w:rPr>
        <w:t>Summary statement.</w:t>
      </w:r>
    </w:p>
    <w:p w:rsidR="00296CA3" w:rsidRDefault="00296CA3" w:rsidP="00296CA3">
      <w:pPr>
        <w:ind w:left="288"/>
      </w:pPr>
    </w:p>
    <w:p w:rsidR="00296CA3" w:rsidRPr="000007E2" w:rsidRDefault="00296CA3" w:rsidP="00296CA3">
      <w:pPr>
        <w:spacing w:after="120"/>
        <w:ind w:left="576" w:hanging="288"/>
        <w:rPr>
          <w:b/>
          <w:i/>
          <w:sz w:val="28"/>
          <w:szCs w:val="28"/>
        </w:rPr>
      </w:pPr>
      <w:r w:rsidRPr="000007E2">
        <w:rPr>
          <w:b/>
          <w:i/>
          <w:sz w:val="28"/>
          <w:szCs w:val="28"/>
        </w:rPr>
        <w:t xml:space="preserve">B. </w:t>
      </w:r>
      <w:r>
        <w:rPr>
          <w:b/>
          <w:i/>
          <w:sz w:val="28"/>
          <w:szCs w:val="28"/>
        </w:rPr>
        <w:t>Action Plans for Improvement of Program</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614"/>
        <w:gridCol w:w="2336"/>
        <w:gridCol w:w="2430"/>
      </w:tblGrid>
      <w:tr w:rsidR="00296CA3" w:rsidRPr="00666E6B" w:rsidTr="00820C06">
        <w:tc>
          <w:tcPr>
            <w:tcW w:w="2970" w:type="dxa"/>
            <w:shd w:val="clear" w:color="auto" w:fill="auto"/>
          </w:tcPr>
          <w:p w:rsidR="00296CA3" w:rsidRPr="00666E6B" w:rsidRDefault="00296CA3" w:rsidP="00820C06">
            <w:pPr>
              <w:rPr>
                <w:i/>
              </w:rPr>
            </w:pPr>
            <w:r w:rsidRPr="00666E6B">
              <w:rPr>
                <w:i/>
              </w:rPr>
              <w:t>Specific improvement/ change</w:t>
            </w:r>
          </w:p>
        </w:tc>
        <w:tc>
          <w:tcPr>
            <w:tcW w:w="2614" w:type="dxa"/>
            <w:shd w:val="clear" w:color="auto" w:fill="auto"/>
          </w:tcPr>
          <w:p w:rsidR="00296CA3" w:rsidRPr="00666E6B" w:rsidRDefault="00296CA3" w:rsidP="00820C06">
            <w:pPr>
              <w:rPr>
                <w:i/>
              </w:rPr>
            </w:pPr>
            <w:r w:rsidRPr="00666E6B">
              <w:rPr>
                <w:i/>
              </w:rPr>
              <w:t>Person(s) responsible</w:t>
            </w:r>
          </w:p>
        </w:tc>
        <w:tc>
          <w:tcPr>
            <w:tcW w:w="2336" w:type="dxa"/>
            <w:shd w:val="clear" w:color="auto" w:fill="auto"/>
          </w:tcPr>
          <w:p w:rsidR="00296CA3" w:rsidRPr="00666E6B" w:rsidRDefault="00296CA3" w:rsidP="00820C06">
            <w:pPr>
              <w:rPr>
                <w:i/>
              </w:rPr>
            </w:pPr>
            <w:r w:rsidRPr="00666E6B">
              <w:rPr>
                <w:i/>
              </w:rPr>
              <w:t>Timeline/due dates</w:t>
            </w:r>
          </w:p>
        </w:tc>
        <w:tc>
          <w:tcPr>
            <w:tcW w:w="2430" w:type="dxa"/>
            <w:shd w:val="clear" w:color="auto" w:fill="auto"/>
          </w:tcPr>
          <w:p w:rsidR="00296CA3" w:rsidRPr="00666E6B" w:rsidRDefault="00296CA3" w:rsidP="00820C06">
            <w:pPr>
              <w:rPr>
                <w:i/>
              </w:rPr>
            </w:pPr>
            <w:r w:rsidRPr="00666E6B">
              <w:rPr>
                <w:i/>
              </w:rPr>
              <w:t>Resources necessary</w:t>
            </w:r>
          </w:p>
        </w:tc>
      </w:tr>
      <w:tr w:rsidR="00296CA3" w:rsidRPr="00666E6B" w:rsidTr="00820C06">
        <w:tc>
          <w:tcPr>
            <w:tcW w:w="2970" w:type="dxa"/>
            <w:shd w:val="clear" w:color="auto" w:fill="auto"/>
          </w:tcPr>
          <w:p w:rsidR="00296CA3" w:rsidRPr="00666E6B" w:rsidRDefault="00296CA3" w:rsidP="00820C06">
            <w:pPr>
              <w:rPr>
                <w:i/>
              </w:rPr>
            </w:pPr>
            <w:r w:rsidRPr="00666E6B">
              <w:rPr>
                <w:i/>
              </w:rPr>
              <w:t>1.</w:t>
            </w:r>
          </w:p>
          <w:p w:rsidR="00296CA3" w:rsidRPr="00666E6B" w:rsidRDefault="00296CA3" w:rsidP="00820C06">
            <w:pPr>
              <w:rPr>
                <w:i/>
              </w:rPr>
            </w:pPr>
          </w:p>
        </w:tc>
        <w:tc>
          <w:tcPr>
            <w:tcW w:w="2614" w:type="dxa"/>
            <w:shd w:val="clear" w:color="auto" w:fill="auto"/>
          </w:tcPr>
          <w:p w:rsidR="00296CA3" w:rsidRPr="00666E6B" w:rsidRDefault="00296CA3" w:rsidP="00820C06">
            <w:pPr>
              <w:rPr>
                <w:i/>
              </w:rPr>
            </w:pPr>
          </w:p>
        </w:tc>
        <w:tc>
          <w:tcPr>
            <w:tcW w:w="2336" w:type="dxa"/>
            <w:shd w:val="clear" w:color="auto" w:fill="auto"/>
          </w:tcPr>
          <w:p w:rsidR="00296CA3" w:rsidRPr="00666E6B" w:rsidRDefault="00296CA3" w:rsidP="00820C06">
            <w:pPr>
              <w:rPr>
                <w:i/>
              </w:rPr>
            </w:pPr>
          </w:p>
        </w:tc>
        <w:tc>
          <w:tcPr>
            <w:tcW w:w="2430" w:type="dxa"/>
            <w:shd w:val="clear" w:color="auto" w:fill="auto"/>
          </w:tcPr>
          <w:p w:rsidR="00296CA3" w:rsidRPr="00666E6B" w:rsidRDefault="00296CA3" w:rsidP="00820C06">
            <w:pPr>
              <w:rPr>
                <w:i/>
              </w:rPr>
            </w:pPr>
          </w:p>
        </w:tc>
      </w:tr>
      <w:tr w:rsidR="00296CA3" w:rsidRPr="00666E6B" w:rsidTr="00820C06">
        <w:tc>
          <w:tcPr>
            <w:tcW w:w="2970" w:type="dxa"/>
            <w:shd w:val="clear" w:color="auto" w:fill="auto"/>
          </w:tcPr>
          <w:p w:rsidR="00296CA3" w:rsidRPr="00666E6B" w:rsidRDefault="00296CA3" w:rsidP="00820C06">
            <w:pPr>
              <w:rPr>
                <w:i/>
              </w:rPr>
            </w:pPr>
            <w:r w:rsidRPr="00666E6B">
              <w:rPr>
                <w:i/>
              </w:rPr>
              <w:t>2.</w:t>
            </w:r>
          </w:p>
          <w:p w:rsidR="00296CA3" w:rsidRPr="00666E6B" w:rsidRDefault="00296CA3" w:rsidP="00820C06">
            <w:pPr>
              <w:rPr>
                <w:i/>
              </w:rPr>
            </w:pPr>
          </w:p>
        </w:tc>
        <w:tc>
          <w:tcPr>
            <w:tcW w:w="2614" w:type="dxa"/>
            <w:shd w:val="clear" w:color="auto" w:fill="auto"/>
          </w:tcPr>
          <w:p w:rsidR="00296CA3" w:rsidRPr="00666E6B" w:rsidRDefault="00296CA3" w:rsidP="00820C06">
            <w:pPr>
              <w:rPr>
                <w:i/>
              </w:rPr>
            </w:pPr>
          </w:p>
        </w:tc>
        <w:tc>
          <w:tcPr>
            <w:tcW w:w="2336" w:type="dxa"/>
            <w:shd w:val="clear" w:color="auto" w:fill="auto"/>
          </w:tcPr>
          <w:p w:rsidR="00296CA3" w:rsidRPr="00666E6B" w:rsidRDefault="00296CA3" w:rsidP="00820C06">
            <w:pPr>
              <w:rPr>
                <w:i/>
              </w:rPr>
            </w:pPr>
          </w:p>
        </w:tc>
        <w:tc>
          <w:tcPr>
            <w:tcW w:w="2430" w:type="dxa"/>
            <w:shd w:val="clear" w:color="auto" w:fill="auto"/>
          </w:tcPr>
          <w:p w:rsidR="00296CA3" w:rsidRPr="00666E6B" w:rsidRDefault="00296CA3" w:rsidP="00820C06">
            <w:pPr>
              <w:rPr>
                <w:i/>
              </w:rPr>
            </w:pPr>
          </w:p>
        </w:tc>
      </w:tr>
    </w:tbl>
    <w:p w:rsidR="00296CA3" w:rsidRDefault="00296CA3" w:rsidP="00296CA3">
      <w:pPr>
        <w:ind w:left="288"/>
      </w:pPr>
    </w:p>
    <w:p w:rsidR="00FC58C1" w:rsidRPr="009648BF" w:rsidRDefault="00FC58C1" w:rsidP="004E1C61">
      <w:pPr>
        <w:spacing w:after="120"/>
      </w:pPr>
    </w:p>
    <w:sectPr w:rsidR="00FC58C1" w:rsidRPr="009648BF" w:rsidSect="004F03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A35" w:rsidRDefault="00690A35">
      <w:r>
        <w:separator/>
      </w:r>
    </w:p>
  </w:endnote>
  <w:endnote w:type="continuationSeparator" w:id="0">
    <w:p w:rsidR="00690A35" w:rsidRDefault="0069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771" w:rsidRDefault="00071771" w:rsidP="00D61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1771" w:rsidRDefault="00071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771" w:rsidRPr="00296CA3" w:rsidRDefault="00071771">
    <w:pPr>
      <w:pStyle w:val="Footer"/>
      <w:rPr>
        <w:sz w:val="16"/>
        <w:szCs w:val="16"/>
        <w:lang w:val="en-US"/>
      </w:rPr>
    </w:pPr>
    <w:r w:rsidRPr="009648BF">
      <w:rPr>
        <w:sz w:val="16"/>
        <w:szCs w:val="16"/>
      </w:rPr>
      <w:t xml:space="preserve">Updated </w:t>
    </w:r>
    <w:r>
      <w:rPr>
        <w:sz w:val="16"/>
        <w:szCs w:val="16"/>
        <w:lang w:val="en-US"/>
      </w:rPr>
      <w:t>May 2024</w:t>
    </w:r>
  </w:p>
  <w:p w:rsidR="00071771" w:rsidRDefault="00071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771" w:rsidRDefault="00071771" w:rsidP="00D61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1771" w:rsidRDefault="000717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771" w:rsidRDefault="00071771" w:rsidP="00D61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071771" w:rsidRDefault="00071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A35" w:rsidRDefault="00690A35">
      <w:r>
        <w:separator/>
      </w:r>
    </w:p>
  </w:footnote>
  <w:footnote w:type="continuationSeparator" w:id="0">
    <w:p w:rsidR="00690A35" w:rsidRDefault="00690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E10FA"/>
    <w:multiLevelType w:val="hybridMultilevel"/>
    <w:tmpl w:val="0BA87B2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50A6369C"/>
    <w:multiLevelType w:val="hybridMultilevel"/>
    <w:tmpl w:val="9AC89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73"/>
    <w:rsid w:val="000007E2"/>
    <w:rsid w:val="00002602"/>
    <w:rsid w:val="000118FA"/>
    <w:rsid w:val="00012BBD"/>
    <w:rsid w:val="00020F4C"/>
    <w:rsid w:val="000210F9"/>
    <w:rsid w:val="000333F8"/>
    <w:rsid w:val="00043A64"/>
    <w:rsid w:val="00047643"/>
    <w:rsid w:val="00051FEB"/>
    <w:rsid w:val="0006093A"/>
    <w:rsid w:val="00060A68"/>
    <w:rsid w:val="00062CDE"/>
    <w:rsid w:val="0006360E"/>
    <w:rsid w:val="00067EC9"/>
    <w:rsid w:val="00071771"/>
    <w:rsid w:val="00071D01"/>
    <w:rsid w:val="00082306"/>
    <w:rsid w:val="00084135"/>
    <w:rsid w:val="000905F5"/>
    <w:rsid w:val="00090AB7"/>
    <w:rsid w:val="00090FBA"/>
    <w:rsid w:val="0009195E"/>
    <w:rsid w:val="000A0841"/>
    <w:rsid w:val="000D24FF"/>
    <w:rsid w:val="000D4B3A"/>
    <w:rsid w:val="000D5415"/>
    <w:rsid w:val="000E53C8"/>
    <w:rsid w:val="000F1920"/>
    <w:rsid w:val="001073FD"/>
    <w:rsid w:val="00111618"/>
    <w:rsid w:val="00117339"/>
    <w:rsid w:val="001238F4"/>
    <w:rsid w:val="00135F8C"/>
    <w:rsid w:val="001368C8"/>
    <w:rsid w:val="00137AA1"/>
    <w:rsid w:val="00143167"/>
    <w:rsid w:val="001477DA"/>
    <w:rsid w:val="001561B8"/>
    <w:rsid w:val="00157F35"/>
    <w:rsid w:val="0016393E"/>
    <w:rsid w:val="0017233D"/>
    <w:rsid w:val="00190D4C"/>
    <w:rsid w:val="001A4ACF"/>
    <w:rsid w:val="001B3A38"/>
    <w:rsid w:val="001C2BB1"/>
    <w:rsid w:val="001C36B1"/>
    <w:rsid w:val="001E0FAC"/>
    <w:rsid w:val="00206B32"/>
    <w:rsid w:val="00210025"/>
    <w:rsid w:val="00212139"/>
    <w:rsid w:val="00213329"/>
    <w:rsid w:val="00221FC2"/>
    <w:rsid w:val="002229D5"/>
    <w:rsid w:val="0022337D"/>
    <w:rsid w:val="00225259"/>
    <w:rsid w:val="00233964"/>
    <w:rsid w:val="00234198"/>
    <w:rsid w:val="002352F2"/>
    <w:rsid w:val="002439AB"/>
    <w:rsid w:val="0025155B"/>
    <w:rsid w:val="002550BD"/>
    <w:rsid w:val="00263BAF"/>
    <w:rsid w:val="002722A6"/>
    <w:rsid w:val="002868DF"/>
    <w:rsid w:val="00287D13"/>
    <w:rsid w:val="00293503"/>
    <w:rsid w:val="002938CB"/>
    <w:rsid w:val="00296CA3"/>
    <w:rsid w:val="002A08AE"/>
    <w:rsid w:val="002B0889"/>
    <w:rsid w:val="002B0BE0"/>
    <w:rsid w:val="002B5B33"/>
    <w:rsid w:val="002D6DDF"/>
    <w:rsid w:val="002E334A"/>
    <w:rsid w:val="002E45CF"/>
    <w:rsid w:val="002E4B82"/>
    <w:rsid w:val="002F5821"/>
    <w:rsid w:val="00301BDB"/>
    <w:rsid w:val="003033AA"/>
    <w:rsid w:val="00312BF3"/>
    <w:rsid w:val="00317B70"/>
    <w:rsid w:val="00327A36"/>
    <w:rsid w:val="003314FD"/>
    <w:rsid w:val="003359A0"/>
    <w:rsid w:val="0033695D"/>
    <w:rsid w:val="00354E21"/>
    <w:rsid w:val="00372E29"/>
    <w:rsid w:val="0037410B"/>
    <w:rsid w:val="00381829"/>
    <w:rsid w:val="003829F8"/>
    <w:rsid w:val="003A65EC"/>
    <w:rsid w:val="003A712C"/>
    <w:rsid w:val="003B0749"/>
    <w:rsid w:val="003B207B"/>
    <w:rsid w:val="003B6B2D"/>
    <w:rsid w:val="003C7689"/>
    <w:rsid w:val="003E1EA2"/>
    <w:rsid w:val="003E4267"/>
    <w:rsid w:val="003E5D39"/>
    <w:rsid w:val="004015FA"/>
    <w:rsid w:val="0041098B"/>
    <w:rsid w:val="00411129"/>
    <w:rsid w:val="004209DF"/>
    <w:rsid w:val="0042196A"/>
    <w:rsid w:val="00424374"/>
    <w:rsid w:val="0043130A"/>
    <w:rsid w:val="00433018"/>
    <w:rsid w:val="00433A5F"/>
    <w:rsid w:val="004347F2"/>
    <w:rsid w:val="00434988"/>
    <w:rsid w:val="00453331"/>
    <w:rsid w:val="00457C57"/>
    <w:rsid w:val="00461558"/>
    <w:rsid w:val="00463287"/>
    <w:rsid w:val="004655D5"/>
    <w:rsid w:val="00465F4A"/>
    <w:rsid w:val="00466DA9"/>
    <w:rsid w:val="00476011"/>
    <w:rsid w:val="00485BF1"/>
    <w:rsid w:val="00486529"/>
    <w:rsid w:val="00487D73"/>
    <w:rsid w:val="00491172"/>
    <w:rsid w:val="004A7918"/>
    <w:rsid w:val="004C16B2"/>
    <w:rsid w:val="004C7449"/>
    <w:rsid w:val="004D1BF5"/>
    <w:rsid w:val="004E1927"/>
    <w:rsid w:val="004E1C61"/>
    <w:rsid w:val="004F036C"/>
    <w:rsid w:val="004F2651"/>
    <w:rsid w:val="004F6EEA"/>
    <w:rsid w:val="005115DC"/>
    <w:rsid w:val="005223E6"/>
    <w:rsid w:val="00523F30"/>
    <w:rsid w:val="005263D4"/>
    <w:rsid w:val="00542CA7"/>
    <w:rsid w:val="00551D7C"/>
    <w:rsid w:val="00554541"/>
    <w:rsid w:val="0055549C"/>
    <w:rsid w:val="00555D71"/>
    <w:rsid w:val="005673F7"/>
    <w:rsid w:val="005729DE"/>
    <w:rsid w:val="00581730"/>
    <w:rsid w:val="005B2D6E"/>
    <w:rsid w:val="005B455D"/>
    <w:rsid w:val="005C3EAC"/>
    <w:rsid w:val="005C58B0"/>
    <w:rsid w:val="005C5903"/>
    <w:rsid w:val="005D166B"/>
    <w:rsid w:val="005D5835"/>
    <w:rsid w:val="005D7171"/>
    <w:rsid w:val="005E1C6F"/>
    <w:rsid w:val="005E63DD"/>
    <w:rsid w:val="005F4CB4"/>
    <w:rsid w:val="005F5A24"/>
    <w:rsid w:val="00603312"/>
    <w:rsid w:val="00606A95"/>
    <w:rsid w:val="00612ADA"/>
    <w:rsid w:val="0064360C"/>
    <w:rsid w:val="00643D76"/>
    <w:rsid w:val="006454D6"/>
    <w:rsid w:val="00650713"/>
    <w:rsid w:val="0065671C"/>
    <w:rsid w:val="006627AF"/>
    <w:rsid w:val="00666E6B"/>
    <w:rsid w:val="006707AC"/>
    <w:rsid w:val="00672FB9"/>
    <w:rsid w:val="00690A35"/>
    <w:rsid w:val="006911EA"/>
    <w:rsid w:val="00692162"/>
    <w:rsid w:val="00696455"/>
    <w:rsid w:val="0069660B"/>
    <w:rsid w:val="006A60FC"/>
    <w:rsid w:val="006B3A2D"/>
    <w:rsid w:val="006B4C13"/>
    <w:rsid w:val="006C7370"/>
    <w:rsid w:val="006D4CF8"/>
    <w:rsid w:val="006D4D26"/>
    <w:rsid w:val="006D5FF0"/>
    <w:rsid w:val="006F27BA"/>
    <w:rsid w:val="00707BD9"/>
    <w:rsid w:val="00714624"/>
    <w:rsid w:val="00716951"/>
    <w:rsid w:val="007237C0"/>
    <w:rsid w:val="0073101C"/>
    <w:rsid w:val="007479FD"/>
    <w:rsid w:val="00747EB2"/>
    <w:rsid w:val="00750A6C"/>
    <w:rsid w:val="007601B2"/>
    <w:rsid w:val="00762EAF"/>
    <w:rsid w:val="007725FD"/>
    <w:rsid w:val="007827D6"/>
    <w:rsid w:val="00787180"/>
    <w:rsid w:val="00790584"/>
    <w:rsid w:val="00795E11"/>
    <w:rsid w:val="007B6F6E"/>
    <w:rsid w:val="007C7319"/>
    <w:rsid w:val="007D0436"/>
    <w:rsid w:val="007D7C69"/>
    <w:rsid w:val="007E05EB"/>
    <w:rsid w:val="007E1EFF"/>
    <w:rsid w:val="007F144B"/>
    <w:rsid w:val="007F48F7"/>
    <w:rsid w:val="007F68F8"/>
    <w:rsid w:val="007F6FC5"/>
    <w:rsid w:val="0080568A"/>
    <w:rsid w:val="00815926"/>
    <w:rsid w:val="00820825"/>
    <w:rsid w:val="00820C06"/>
    <w:rsid w:val="0082318F"/>
    <w:rsid w:val="00845911"/>
    <w:rsid w:val="00845CA4"/>
    <w:rsid w:val="00847779"/>
    <w:rsid w:val="00852664"/>
    <w:rsid w:val="00852E9B"/>
    <w:rsid w:val="0085570C"/>
    <w:rsid w:val="008605CD"/>
    <w:rsid w:val="0086256B"/>
    <w:rsid w:val="00863D83"/>
    <w:rsid w:val="00867ED6"/>
    <w:rsid w:val="00872F78"/>
    <w:rsid w:val="00874F62"/>
    <w:rsid w:val="0088154C"/>
    <w:rsid w:val="00892AC1"/>
    <w:rsid w:val="00894D4B"/>
    <w:rsid w:val="008A1B90"/>
    <w:rsid w:val="008A36DD"/>
    <w:rsid w:val="008A6CFD"/>
    <w:rsid w:val="008B5033"/>
    <w:rsid w:val="008B5BB9"/>
    <w:rsid w:val="008B74B0"/>
    <w:rsid w:val="008B7AB2"/>
    <w:rsid w:val="008C1124"/>
    <w:rsid w:val="008C6DA9"/>
    <w:rsid w:val="008E09FF"/>
    <w:rsid w:val="008E203E"/>
    <w:rsid w:val="008E6F26"/>
    <w:rsid w:val="00900828"/>
    <w:rsid w:val="00900CD3"/>
    <w:rsid w:val="00900EA8"/>
    <w:rsid w:val="009049F7"/>
    <w:rsid w:val="00906998"/>
    <w:rsid w:val="00910FD9"/>
    <w:rsid w:val="00911525"/>
    <w:rsid w:val="00914EC8"/>
    <w:rsid w:val="009170F6"/>
    <w:rsid w:val="009231FF"/>
    <w:rsid w:val="00926CB4"/>
    <w:rsid w:val="00931312"/>
    <w:rsid w:val="00936913"/>
    <w:rsid w:val="009374E7"/>
    <w:rsid w:val="00937B75"/>
    <w:rsid w:val="0094219F"/>
    <w:rsid w:val="00943D5B"/>
    <w:rsid w:val="00946274"/>
    <w:rsid w:val="00953A14"/>
    <w:rsid w:val="00954AE9"/>
    <w:rsid w:val="00957231"/>
    <w:rsid w:val="009601B1"/>
    <w:rsid w:val="009627AB"/>
    <w:rsid w:val="00963E9F"/>
    <w:rsid w:val="009648BF"/>
    <w:rsid w:val="00965302"/>
    <w:rsid w:val="00970E3A"/>
    <w:rsid w:val="009732A6"/>
    <w:rsid w:val="0097759F"/>
    <w:rsid w:val="0098060C"/>
    <w:rsid w:val="009826C1"/>
    <w:rsid w:val="0098626F"/>
    <w:rsid w:val="00991BD2"/>
    <w:rsid w:val="009A5F7C"/>
    <w:rsid w:val="009A691B"/>
    <w:rsid w:val="009A72F5"/>
    <w:rsid w:val="009B69C3"/>
    <w:rsid w:val="009C098C"/>
    <w:rsid w:val="009C0A2F"/>
    <w:rsid w:val="009C22AB"/>
    <w:rsid w:val="009C526F"/>
    <w:rsid w:val="009C5CAB"/>
    <w:rsid w:val="009D06D3"/>
    <w:rsid w:val="009F11B3"/>
    <w:rsid w:val="009F3C3B"/>
    <w:rsid w:val="00A03E7E"/>
    <w:rsid w:val="00A0432D"/>
    <w:rsid w:val="00A05826"/>
    <w:rsid w:val="00A10BD3"/>
    <w:rsid w:val="00A23F64"/>
    <w:rsid w:val="00A27020"/>
    <w:rsid w:val="00A3293F"/>
    <w:rsid w:val="00A43E69"/>
    <w:rsid w:val="00A4503D"/>
    <w:rsid w:val="00A45637"/>
    <w:rsid w:val="00A6728A"/>
    <w:rsid w:val="00A7635C"/>
    <w:rsid w:val="00A85522"/>
    <w:rsid w:val="00AA3655"/>
    <w:rsid w:val="00AB0DE8"/>
    <w:rsid w:val="00AB21DA"/>
    <w:rsid w:val="00AB21E0"/>
    <w:rsid w:val="00AC0B73"/>
    <w:rsid w:val="00AC7030"/>
    <w:rsid w:val="00AE53FD"/>
    <w:rsid w:val="00AE6C2F"/>
    <w:rsid w:val="00AF1E2E"/>
    <w:rsid w:val="00AF5BF8"/>
    <w:rsid w:val="00B00625"/>
    <w:rsid w:val="00B3374A"/>
    <w:rsid w:val="00B41826"/>
    <w:rsid w:val="00B41AF1"/>
    <w:rsid w:val="00B47900"/>
    <w:rsid w:val="00B52302"/>
    <w:rsid w:val="00B605CE"/>
    <w:rsid w:val="00B614BE"/>
    <w:rsid w:val="00B720C5"/>
    <w:rsid w:val="00B72E65"/>
    <w:rsid w:val="00B762A2"/>
    <w:rsid w:val="00B7795C"/>
    <w:rsid w:val="00B85FFF"/>
    <w:rsid w:val="00B90157"/>
    <w:rsid w:val="00B928F8"/>
    <w:rsid w:val="00BB3C47"/>
    <w:rsid w:val="00BC6375"/>
    <w:rsid w:val="00BC6382"/>
    <w:rsid w:val="00BC6401"/>
    <w:rsid w:val="00BC7AE5"/>
    <w:rsid w:val="00BE0B51"/>
    <w:rsid w:val="00BF058C"/>
    <w:rsid w:val="00BF3513"/>
    <w:rsid w:val="00C018FD"/>
    <w:rsid w:val="00C021A6"/>
    <w:rsid w:val="00C17BD8"/>
    <w:rsid w:val="00C24E0C"/>
    <w:rsid w:val="00C451E6"/>
    <w:rsid w:val="00C51F83"/>
    <w:rsid w:val="00C56D5B"/>
    <w:rsid w:val="00C61B89"/>
    <w:rsid w:val="00C6687F"/>
    <w:rsid w:val="00C6694F"/>
    <w:rsid w:val="00C70918"/>
    <w:rsid w:val="00C7386B"/>
    <w:rsid w:val="00C75771"/>
    <w:rsid w:val="00C83391"/>
    <w:rsid w:val="00C844A5"/>
    <w:rsid w:val="00C90AAB"/>
    <w:rsid w:val="00C92528"/>
    <w:rsid w:val="00C94618"/>
    <w:rsid w:val="00C95CA8"/>
    <w:rsid w:val="00CA03E7"/>
    <w:rsid w:val="00CA0D49"/>
    <w:rsid w:val="00CA1487"/>
    <w:rsid w:val="00CA439B"/>
    <w:rsid w:val="00CB0EB5"/>
    <w:rsid w:val="00CC2D0B"/>
    <w:rsid w:val="00CC6618"/>
    <w:rsid w:val="00CC678A"/>
    <w:rsid w:val="00CD0B12"/>
    <w:rsid w:val="00CD64DA"/>
    <w:rsid w:val="00CF4623"/>
    <w:rsid w:val="00CF7D2C"/>
    <w:rsid w:val="00D0473A"/>
    <w:rsid w:val="00D07F4E"/>
    <w:rsid w:val="00D1288D"/>
    <w:rsid w:val="00D13B9E"/>
    <w:rsid w:val="00D301FC"/>
    <w:rsid w:val="00D31D90"/>
    <w:rsid w:val="00D427DF"/>
    <w:rsid w:val="00D47C52"/>
    <w:rsid w:val="00D51B41"/>
    <w:rsid w:val="00D542B7"/>
    <w:rsid w:val="00D55EF0"/>
    <w:rsid w:val="00D61155"/>
    <w:rsid w:val="00D6120E"/>
    <w:rsid w:val="00D65C1C"/>
    <w:rsid w:val="00D67837"/>
    <w:rsid w:val="00D76E4B"/>
    <w:rsid w:val="00D8322E"/>
    <w:rsid w:val="00D85D61"/>
    <w:rsid w:val="00D90F17"/>
    <w:rsid w:val="00DA4222"/>
    <w:rsid w:val="00DB50B1"/>
    <w:rsid w:val="00DB5997"/>
    <w:rsid w:val="00DC0385"/>
    <w:rsid w:val="00DC7181"/>
    <w:rsid w:val="00DC72F3"/>
    <w:rsid w:val="00DD5966"/>
    <w:rsid w:val="00DD5FBC"/>
    <w:rsid w:val="00DE310A"/>
    <w:rsid w:val="00DE3AD7"/>
    <w:rsid w:val="00DE4427"/>
    <w:rsid w:val="00DE4749"/>
    <w:rsid w:val="00DE5BC6"/>
    <w:rsid w:val="00DF7273"/>
    <w:rsid w:val="00E038D2"/>
    <w:rsid w:val="00E045F5"/>
    <w:rsid w:val="00E2099E"/>
    <w:rsid w:val="00E2757A"/>
    <w:rsid w:val="00E36B58"/>
    <w:rsid w:val="00E373C9"/>
    <w:rsid w:val="00E4653F"/>
    <w:rsid w:val="00E50739"/>
    <w:rsid w:val="00E51280"/>
    <w:rsid w:val="00E536D7"/>
    <w:rsid w:val="00E745BB"/>
    <w:rsid w:val="00E75FE3"/>
    <w:rsid w:val="00E81EAE"/>
    <w:rsid w:val="00E82CA9"/>
    <w:rsid w:val="00E871D4"/>
    <w:rsid w:val="00E8750D"/>
    <w:rsid w:val="00E960CC"/>
    <w:rsid w:val="00E97B9A"/>
    <w:rsid w:val="00EB543D"/>
    <w:rsid w:val="00EC019B"/>
    <w:rsid w:val="00EC1DF5"/>
    <w:rsid w:val="00EC4D08"/>
    <w:rsid w:val="00EE01BB"/>
    <w:rsid w:val="00EE6367"/>
    <w:rsid w:val="00EE78C1"/>
    <w:rsid w:val="00F10F27"/>
    <w:rsid w:val="00F16AD9"/>
    <w:rsid w:val="00F20257"/>
    <w:rsid w:val="00F27EB2"/>
    <w:rsid w:val="00F33837"/>
    <w:rsid w:val="00F46074"/>
    <w:rsid w:val="00F626C2"/>
    <w:rsid w:val="00F62CEB"/>
    <w:rsid w:val="00F652A3"/>
    <w:rsid w:val="00F71E35"/>
    <w:rsid w:val="00F82DFF"/>
    <w:rsid w:val="00F9021A"/>
    <w:rsid w:val="00F95B53"/>
    <w:rsid w:val="00F971EC"/>
    <w:rsid w:val="00FA04C4"/>
    <w:rsid w:val="00FA56CD"/>
    <w:rsid w:val="00FB32D4"/>
    <w:rsid w:val="00FC4CC5"/>
    <w:rsid w:val="00FC58C1"/>
    <w:rsid w:val="00FC67ED"/>
    <w:rsid w:val="00FD02BE"/>
    <w:rsid w:val="00FD181E"/>
    <w:rsid w:val="00FD1EEE"/>
    <w:rsid w:val="00FD20DE"/>
    <w:rsid w:val="00FD5452"/>
    <w:rsid w:val="00FE0487"/>
    <w:rsid w:val="00FE4EBC"/>
    <w:rsid w:val="00FF56A2"/>
    <w:rsid w:val="00FF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6774C33D-1E66-48F8-BEA7-9247C476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0B73"/>
    <w:rPr>
      <w:sz w:val="24"/>
      <w:szCs w:val="24"/>
    </w:rPr>
  </w:style>
  <w:style w:type="paragraph" w:styleId="Heading1">
    <w:name w:val="heading 1"/>
    <w:basedOn w:val="Normal"/>
    <w:next w:val="Normal"/>
    <w:qFormat/>
    <w:rsid w:val="00906998"/>
    <w:pPr>
      <w:keepNext/>
      <w:outlineLvl w:val="0"/>
    </w:pPr>
    <w:rPr>
      <w:rFonts w:ascii="Arial Narrow" w:hAnsi="Arial Narrow" w:cs="Arial"/>
      <w:b/>
      <w:bCs/>
    </w:rPr>
  </w:style>
  <w:style w:type="paragraph" w:styleId="Heading2">
    <w:name w:val="heading 2"/>
    <w:basedOn w:val="Normal"/>
    <w:next w:val="Normal"/>
    <w:qFormat/>
    <w:rsid w:val="00906998"/>
    <w:pPr>
      <w:keepNext/>
      <w:outlineLvl w:val="1"/>
    </w:pPr>
    <w:rPr>
      <w:rFonts w:ascii="Arial Narrow" w:hAnsi="Arial Narrow"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urriculums">
    <w:name w:val="h-curriculums"/>
    <w:basedOn w:val="Normal"/>
    <w:rsid w:val="00FD02BE"/>
    <w:pPr>
      <w:tabs>
        <w:tab w:val="left" w:pos="946"/>
        <w:tab w:val="right" w:pos="3114"/>
      </w:tabs>
      <w:spacing w:after="29" w:line="200" w:lineRule="exact"/>
    </w:pPr>
    <w:rPr>
      <w:noProof/>
      <w:sz w:val="18"/>
      <w:szCs w:val="20"/>
    </w:rPr>
  </w:style>
  <w:style w:type="paragraph" w:customStyle="1" w:styleId="p3">
    <w:name w:val="p3"/>
    <w:basedOn w:val="Normal"/>
    <w:rsid w:val="00C021A6"/>
    <w:pPr>
      <w:widowControl w:val="0"/>
      <w:tabs>
        <w:tab w:val="left" w:pos="260"/>
      </w:tabs>
      <w:autoSpaceDE w:val="0"/>
      <w:autoSpaceDN w:val="0"/>
      <w:adjustRightInd w:val="0"/>
      <w:spacing w:line="240" w:lineRule="atLeast"/>
      <w:ind w:left="1180" w:hanging="260"/>
    </w:pPr>
  </w:style>
  <w:style w:type="paragraph" w:customStyle="1" w:styleId="p4">
    <w:name w:val="p4"/>
    <w:basedOn w:val="Normal"/>
    <w:rsid w:val="00C021A6"/>
    <w:pPr>
      <w:widowControl w:val="0"/>
      <w:tabs>
        <w:tab w:val="left" w:pos="317"/>
        <w:tab w:val="left" w:pos="544"/>
      </w:tabs>
      <w:autoSpaceDE w:val="0"/>
      <w:autoSpaceDN w:val="0"/>
      <w:adjustRightInd w:val="0"/>
      <w:spacing w:line="240" w:lineRule="atLeast"/>
      <w:ind w:left="544" w:hanging="227"/>
    </w:pPr>
  </w:style>
  <w:style w:type="paragraph" w:customStyle="1" w:styleId="p5">
    <w:name w:val="p5"/>
    <w:basedOn w:val="Normal"/>
    <w:rsid w:val="00C021A6"/>
    <w:pPr>
      <w:widowControl w:val="0"/>
      <w:tabs>
        <w:tab w:val="left" w:pos="300"/>
        <w:tab w:val="left" w:pos="566"/>
      </w:tabs>
      <w:autoSpaceDE w:val="0"/>
      <w:autoSpaceDN w:val="0"/>
      <w:adjustRightInd w:val="0"/>
      <w:spacing w:line="277" w:lineRule="atLeast"/>
      <w:ind w:left="566" w:hanging="266"/>
    </w:pPr>
  </w:style>
  <w:style w:type="paragraph" w:styleId="Footer">
    <w:name w:val="footer"/>
    <w:basedOn w:val="Normal"/>
    <w:link w:val="FooterChar"/>
    <w:uiPriority w:val="99"/>
    <w:rsid w:val="00EE78C1"/>
    <w:pPr>
      <w:tabs>
        <w:tab w:val="center" w:pos="4320"/>
        <w:tab w:val="right" w:pos="8640"/>
      </w:tabs>
    </w:pPr>
    <w:rPr>
      <w:lang w:val="x-none" w:eastAsia="x-none"/>
    </w:rPr>
  </w:style>
  <w:style w:type="character" w:styleId="PageNumber">
    <w:name w:val="page number"/>
    <w:basedOn w:val="DefaultParagraphFont"/>
    <w:rsid w:val="00EE78C1"/>
  </w:style>
  <w:style w:type="paragraph" w:styleId="BodyText">
    <w:name w:val="Body Text"/>
    <w:basedOn w:val="Normal"/>
    <w:rsid w:val="00906998"/>
    <w:rPr>
      <w:rFonts w:ascii="Arial Narrow" w:hAnsi="Arial Narrow"/>
      <w:sz w:val="20"/>
    </w:rPr>
  </w:style>
  <w:style w:type="paragraph" w:styleId="Title">
    <w:name w:val="Title"/>
    <w:basedOn w:val="Normal"/>
    <w:link w:val="TitleChar"/>
    <w:qFormat/>
    <w:rsid w:val="00906998"/>
    <w:pPr>
      <w:jc w:val="center"/>
    </w:pPr>
    <w:rPr>
      <w:b/>
      <w:bCs/>
    </w:rPr>
  </w:style>
  <w:style w:type="character" w:customStyle="1" w:styleId="TitleChar">
    <w:name w:val="Title Char"/>
    <w:link w:val="Title"/>
    <w:rsid w:val="00906998"/>
    <w:rPr>
      <w:b/>
      <w:bCs/>
      <w:sz w:val="24"/>
      <w:szCs w:val="24"/>
      <w:lang w:val="en-US" w:eastAsia="en-US" w:bidi="ar-SA"/>
    </w:rPr>
  </w:style>
  <w:style w:type="paragraph" w:styleId="Subtitle">
    <w:name w:val="Subtitle"/>
    <w:basedOn w:val="Normal"/>
    <w:qFormat/>
    <w:rsid w:val="00906998"/>
    <w:rPr>
      <w:rFonts w:ascii="Arial Narrow" w:hAnsi="Arial Narrow"/>
      <w:b/>
      <w:bCs/>
    </w:rPr>
  </w:style>
  <w:style w:type="paragraph" w:styleId="BodyText2">
    <w:name w:val="Body Text 2"/>
    <w:basedOn w:val="Normal"/>
    <w:rsid w:val="00C94618"/>
    <w:pPr>
      <w:spacing w:after="120" w:line="480" w:lineRule="auto"/>
    </w:pPr>
  </w:style>
  <w:style w:type="paragraph" w:styleId="PlainText">
    <w:name w:val="Plain Text"/>
    <w:basedOn w:val="Normal"/>
    <w:link w:val="PlainTextChar"/>
    <w:rsid w:val="001238F4"/>
    <w:rPr>
      <w:rFonts w:ascii="Courier New" w:eastAsia="Calibri" w:hAnsi="Courier New" w:cs="Courier New"/>
      <w:sz w:val="20"/>
      <w:szCs w:val="20"/>
    </w:rPr>
  </w:style>
  <w:style w:type="character" w:customStyle="1" w:styleId="PlainTextChar">
    <w:name w:val="Plain Text Char"/>
    <w:link w:val="PlainText"/>
    <w:locked/>
    <w:rsid w:val="001238F4"/>
    <w:rPr>
      <w:rFonts w:ascii="Courier New" w:eastAsia="Calibri" w:hAnsi="Courier New" w:cs="Courier New"/>
      <w:lang w:val="en-US" w:eastAsia="en-US" w:bidi="ar-SA"/>
    </w:rPr>
  </w:style>
  <w:style w:type="character" w:styleId="Hyperlink">
    <w:name w:val="Hyperlink"/>
    <w:rsid w:val="001238F4"/>
    <w:rPr>
      <w:rFonts w:cs="Times New Roman"/>
      <w:color w:val="0000FF"/>
      <w:u w:val="single"/>
    </w:rPr>
  </w:style>
  <w:style w:type="paragraph" w:styleId="FootnoteText">
    <w:name w:val="footnote text"/>
    <w:basedOn w:val="Normal"/>
    <w:unhideWhenUsed/>
    <w:rsid w:val="00FF6D03"/>
    <w:rPr>
      <w:rFonts w:ascii="Calibri" w:hAnsi="Calibri"/>
      <w:sz w:val="20"/>
      <w:szCs w:val="20"/>
    </w:rPr>
  </w:style>
  <w:style w:type="character" w:styleId="FootnoteReference">
    <w:name w:val="footnote reference"/>
    <w:rsid w:val="00FF6D03"/>
    <w:rPr>
      <w:vertAlign w:val="superscript"/>
    </w:rPr>
  </w:style>
  <w:style w:type="paragraph" w:styleId="Header">
    <w:name w:val="header"/>
    <w:basedOn w:val="Normal"/>
    <w:link w:val="HeaderChar"/>
    <w:rsid w:val="009648BF"/>
    <w:pPr>
      <w:tabs>
        <w:tab w:val="center" w:pos="4680"/>
        <w:tab w:val="right" w:pos="9360"/>
      </w:tabs>
    </w:pPr>
    <w:rPr>
      <w:lang w:val="x-none" w:eastAsia="x-none"/>
    </w:rPr>
  </w:style>
  <w:style w:type="character" w:customStyle="1" w:styleId="HeaderChar">
    <w:name w:val="Header Char"/>
    <w:link w:val="Header"/>
    <w:rsid w:val="009648BF"/>
    <w:rPr>
      <w:sz w:val="24"/>
      <w:szCs w:val="24"/>
    </w:rPr>
  </w:style>
  <w:style w:type="character" w:customStyle="1" w:styleId="FooterChar">
    <w:name w:val="Footer Char"/>
    <w:link w:val="Footer"/>
    <w:uiPriority w:val="99"/>
    <w:rsid w:val="009648BF"/>
    <w:rPr>
      <w:sz w:val="24"/>
      <w:szCs w:val="24"/>
    </w:rPr>
  </w:style>
  <w:style w:type="paragraph" w:styleId="BalloonText">
    <w:name w:val="Balloon Text"/>
    <w:basedOn w:val="Normal"/>
    <w:link w:val="BalloonTextChar"/>
    <w:rsid w:val="009648BF"/>
    <w:rPr>
      <w:rFonts w:ascii="Tahoma" w:hAnsi="Tahoma"/>
      <w:sz w:val="16"/>
      <w:szCs w:val="16"/>
      <w:lang w:val="x-none" w:eastAsia="x-none"/>
    </w:rPr>
  </w:style>
  <w:style w:type="character" w:customStyle="1" w:styleId="BalloonTextChar">
    <w:name w:val="Balloon Text Char"/>
    <w:link w:val="BalloonText"/>
    <w:rsid w:val="009648BF"/>
    <w:rPr>
      <w:rFonts w:ascii="Tahoma" w:hAnsi="Tahoma" w:cs="Tahoma"/>
      <w:sz w:val="16"/>
      <w:szCs w:val="16"/>
    </w:rPr>
  </w:style>
  <w:style w:type="character" w:styleId="CommentReference">
    <w:name w:val="annotation reference"/>
    <w:rsid w:val="008B7AB2"/>
    <w:rPr>
      <w:sz w:val="16"/>
      <w:szCs w:val="16"/>
    </w:rPr>
  </w:style>
  <w:style w:type="paragraph" w:styleId="CommentText">
    <w:name w:val="annotation text"/>
    <w:basedOn w:val="Normal"/>
    <w:link w:val="CommentTextChar"/>
    <w:rsid w:val="008B7AB2"/>
    <w:rPr>
      <w:sz w:val="20"/>
      <w:szCs w:val="20"/>
    </w:rPr>
  </w:style>
  <w:style w:type="character" w:customStyle="1" w:styleId="CommentTextChar">
    <w:name w:val="Comment Text Char"/>
    <w:basedOn w:val="DefaultParagraphFont"/>
    <w:link w:val="CommentText"/>
    <w:rsid w:val="008B7AB2"/>
  </w:style>
  <w:style w:type="paragraph" w:styleId="CommentSubject">
    <w:name w:val="annotation subject"/>
    <w:basedOn w:val="CommentText"/>
    <w:next w:val="CommentText"/>
    <w:link w:val="CommentSubjectChar"/>
    <w:rsid w:val="008B7AB2"/>
    <w:rPr>
      <w:b/>
      <w:bCs/>
    </w:rPr>
  </w:style>
  <w:style w:type="character" w:customStyle="1" w:styleId="CommentSubjectChar">
    <w:name w:val="Comment Subject Char"/>
    <w:link w:val="CommentSubject"/>
    <w:rsid w:val="008B7AB2"/>
    <w:rPr>
      <w:b/>
      <w:bCs/>
    </w:rPr>
  </w:style>
  <w:style w:type="paragraph" w:styleId="NormalWeb">
    <w:name w:val="Normal (Web)"/>
    <w:basedOn w:val="Normal"/>
    <w:uiPriority w:val="99"/>
    <w:unhideWhenUsed/>
    <w:rsid w:val="00296CA3"/>
    <w:rPr>
      <w:rFonts w:eastAsia="Calibri"/>
    </w:rPr>
  </w:style>
  <w:style w:type="paragraph" w:customStyle="1" w:styleId="paragraph">
    <w:name w:val="paragraph"/>
    <w:basedOn w:val="Normal"/>
    <w:rsid w:val="004E1C61"/>
    <w:pPr>
      <w:spacing w:before="100" w:beforeAutospacing="1" w:after="100" w:afterAutospacing="1"/>
    </w:pPr>
  </w:style>
  <w:style w:type="character" w:customStyle="1" w:styleId="normaltextrun">
    <w:name w:val="normaltextrun"/>
    <w:basedOn w:val="DefaultParagraphFont"/>
    <w:rsid w:val="004E1C61"/>
  </w:style>
  <w:style w:type="character" w:customStyle="1" w:styleId="eop">
    <w:name w:val="eop"/>
    <w:basedOn w:val="DefaultParagraphFont"/>
    <w:rsid w:val="004E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359483">
      <w:bodyDiv w:val="1"/>
      <w:marLeft w:val="0"/>
      <w:marRight w:val="0"/>
      <w:marTop w:val="0"/>
      <w:marBottom w:val="0"/>
      <w:divBdr>
        <w:top w:val="none" w:sz="0" w:space="0" w:color="auto"/>
        <w:left w:val="none" w:sz="0" w:space="0" w:color="auto"/>
        <w:bottom w:val="none" w:sz="0" w:space="0" w:color="auto"/>
        <w:right w:val="none" w:sz="0" w:space="0" w:color="auto"/>
      </w:divBdr>
    </w:div>
    <w:div w:id="10197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4500</Words>
  <Characters>25916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Program review Template</vt:lpstr>
    </vt:vector>
  </TitlesOfParts>
  <Company>SUNY Cobleskill</Company>
  <LinksUpToDate>false</LinksUpToDate>
  <CharactersWithSpaces>30356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review Template</dc:title>
  <dc:subject/>
  <dc:creator>Joe Sprague</dc:creator>
  <cp:keywords/>
  <dc:description>Modification of guidelines from SUNY "Guide for Evaluation of Undergraduate Academic Programs" for Assessment Committee</dc:description>
  <cp:lastModifiedBy>Winter, Tara L</cp:lastModifiedBy>
  <cp:revision>2</cp:revision>
  <cp:lastPrinted>2009-04-09T18:11:00Z</cp:lastPrinted>
  <dcterms:created xsi:type="dcterms:W3CDTF">2025-09-29T13:44:00Z</dcterms:created>
  <dcterms:modified xsi:type="dcterms:W3CDTF">2025-09-29T13:44:00Z</dcterms:modified>
</cp:coreProperties>
</file>